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Slurry Flow, Density and Tonnage Verification Survey</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SWI-PRO-MET-203-002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JSEA-PRO-MET-203-002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203  Plant Surveys</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HM-PRC-VXX-PRO207  Plant Surveys and Circuit Performance Assessment</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Prove that the flow, density and tonnage instruments are telling the truth.</w:t>
      </w:r>
    </w:p>
    <w:p>
      <w:pPr>
        <w:spacing w:after="60" w:before="0" w:line="245"/>
      </w:pPr>
      <w:r>
        <w:rPr>
          <w:rFonts w:ascii="Calibri" w:cs="Calibri" w:eastAsia="Calibri" w:hAnsi="Calibri"/>
          <w:sz w:val="17"/>
          <w:szCs w:val="17"/>
        </w:rPr>
        <w:t xml:space="preserve">Every mass balance on the plant is built on these instruments. If a weightometer or a density transmitter is out, every number downstream is out with it.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021-PP-123/124</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Scrubber discharge - flow and density</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AIT-021002</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Density transmitter</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022</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IsaMill feed and discharge</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031 / 032</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Leach and CIL feed</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051</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Tails</w:t>
            </w:r>
          </w:p>
        </w:tc>
      </w:tr>
    </w:tbl>
    <w:p>
      <w:pPr>
        <w:spacing w:after="60" w:before="0" w:line="245"/>
      </w:pPr>
    </w:p>
    <w:p>
      <w:pPr>
        <w:spacing w:after="60" w:before="0" w:line="245"/>
      </w:pPr>
      <w:r>
        <w:rPr>
          <w:rFonts w:ascii="Calibri" w:cs="Calibri" w:eastAsia="Calibri" w:hAnsi="Calibri"/>
          <w:sz w:val="17"/>
          <w:szCs w:val="17"/>
        </w:rPr>
        <w:t xml:space="preserve">Frequency: Quarterly, and after any instrument replacement or recalibration.</w:t>
      </w:r>
    </w:p>
    <w:p>
      <w:pPr>
        <w:spacing w:after="60" w:before="0" w:line="245"/>
      </w:pPr>
      <w:r>
        <w:rPr>
          <w:rFonts w:ascii="Calibri" w:cs="Calibri" w:eastAsia="Calibri" w:hAnsi="Calibri"/>
          <w:sz w:val="17"/>
          <w:szCs w:val="17"/>
        </w:rPr>
        <w:t xml:space="preserve">This instruction sits under Standard Work Procedure HM-PRC-VXX-PRO207 - Plant Surveys and Circuit Performance Assessment. Read that procedure before carrying out this task for the first time.</w:t>
      </w:r>
    </w:p>
    <w:p>
      <w:pPr>
        <w:spacing w:after="60" w:before="0" w:line="245"/>
      </w:pPr>
      <w:r>
        <w:rPr>
          <w:rFonts w:ascii="Calibri" w:cs="Calibri" w:eastAsia="Calibri" w:hAnsi="Calibri"/>
          <w:sz w:val="17"/>
          <w:szCs w:val="17"/>
        </w:rPr>
        <w:t xml:space="preserve">Register line: SWI-PRO-MET-203-002 in HM-MMM-WHS-REG-XXX-R00-SWI-SWMS, tab SWI-MET. The matching hazard analysis is JSEA-PRO-MET-203-002.</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JSEA-PRO-MET-203-002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Fall from a tank top, launder platform, column platform or access ladder</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Manual handling injury from carrying sample buckets, containers and composite drums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volume kept to the schedule - no over-filling. Two-person lift or a trolley for composite containers above the site manual handling limit. Route cleared before lifting.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JSEA-PRO-MET-203-002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Notify the control room that the task is starting, and where you will be.</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work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area is fit - no restricted access, no gas alarm, no spill response in progress.</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Marcy scale</w:t>
      </w:r>
    </w:p>
    <w:p>
      <w:pPr>
        <w:pStyle w:val="ListParagraph"/>
        <w:numPr>
          <w:ilvl w:val="0"/>
          <w:numId w:val="1"/>
        </w:numPr>
        <w:spacing w:after="60" w:line="245"/>
      </w:pPr>
      <w:r>
        <w:rPr>
          <w:rFonts w:ascii="Calibri" w:cs="Calibri" w:eastAsia="Calibri" w:hAnsi="Calibri"/>
          <w:sz w:val="17"/>
          <w:szCs w:val="17"/>
        </w:rPr>
        <w:t xml:space="preserve">1 litre density container</w:t>
      </w:r>
    </w:p>
    <w:p>
      <w:pPr>
        <w:pStyle w:val="ListParagraph"/>
        <w:numPr>
          <w:ilvl w:val="0"/>
          <w:numId w:val="1"/>
        </w:numPr>
        <w:spacing w:after="60" w:line="245"/>
      </w:pPr>
      <w:r>
        <w:rPr>
          <w:rFonts w:ascii="Calibri" w:cs="Calibri" w:eastAsia="Calibri" w:hAnsi="Calibri"/>
          <w:sz w:val="17"/>
          <w:szCs w:val="17"/>
        </w:rPr>
        <w:t xml:space="preserve">Stopwatch</w:t>
      </w:r>
    </w:p>
    <w:p>
      <w:pPr>
        <w:pStyle w:val="ListParagraph"/>
        <w:numPr>
          <w:ilvl w:val="0"/>
          <w:numId w:val="1"/>
        </w:numPr>
        <w:spacing w:after="60" w:line="245"/>
      </w:pPr>
      <w:r>
        <w:rPr>
          <w:rFonts w:ascii="Calibri" w:cs="Calibri" w:eastAsia="Calibri" w:hAnsi="Calibri"/>
          <w:sz w:val="17"/>
          <w:szCs w:val="17"/>
        </w:rPr>
        <w:t xml:space="preserve">Bucket and measuring cylinder for cut samples</w:t>
      </w:r>
    </w:p>
    <w:p>
      <w:pPr>
        <w:pStyle w:val="ListParagraph"/>
        <w:numPr>
          <w:ilvl w:val="0"/>
          <w:numId w:val="1"/>
        </w:numPr>
        <w:spacing w:after="60" w:line="245"/>
      </w:pPr>
      <w:r>
        <w:rPr>
          <w:rFonts w:ascii="Calibri" w:cs="Calibri" w:eastAsia="Calibri" w:hAnsi="Calibri"/>
          <w:sz w:val="17"/>
          <w:szCs w:val="17"/>
        </w:rPr>
        <w:t xml:space="preserve">Field data sheets</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Confirm the circuit is at steady state and will be held there for the survey window.</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Take a timed cut sample at the point where the arrangement allows a full stream cut, and measure the volume and time.</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Measure the slurry density on the Marcy scale on the same sample.</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Calculate volumetric flow and dry solids tonnage from the cut, and compare against the instrument reading logged at the same moment.</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Repeat at least three times at each point. A single cut is not a verification.</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Record the difference between measured and indicated for each instrument.</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Report any instrument outside its tolerance to instrumentation. Do not adjust it yourself.</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Feed the verified tonnage into the metallurgical accounting for the period.</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Leave the area clean. Recover spillage to the drain, not to the ground.</w:t>
      </w:r>
    </w:p>
    <w:p>
      <w:pPr>
        <w:pStyle w:val="ListParagraph"/>
        <w:numPr>
          <w:ilvl w:val="0"/>
          <w:numId w:val="1"/>
        </w:numPr>
        <w:spacing w:after="60" w:line="245"/>
      </w:pPr>
      <w:r>
        <w:rPr>
          <w:rFonts w:ascii="Calibri" w:cs="Calibri" w:eastAsia="Calibri" w:hAnsi="Calibri"/>
          <w:sz w:val="17"/>
          <w:szCs w:val="17"/>
        </w:rPr>
        <w:t xml:space="preserve">Return all equipment to its storage point.</w:t>
      </w:r>
    </w:p>
    <w:p>
      <w:pPr>
        <w:pStyle w:val="ListParagraph"/>
        <w:numPr>
          <w:ilvl w:val="0"/>
          <w:numId w:val="1"/>
        </w:numPr>
        <w:spacing w:after="60" w:line="245"/>
      </w:pPr>
      <w:r>
        <w:rPr>
          <w:rFonts w:ascii="Calibri" w:cs="Calibri" w:eastAsia="Calibri" w:hAnsi="Calibri"/>
          <w:sz w:val="17"/>
          <w:szCs w:val="17"/>
        </w:rPr>
        <w:t xml:space="preserve">Record what was done, what was found and anything not completed.</w:t>
      </w:r>
    </w:p>
    <w:p>
      <w:pPr>
        <w:pStyle w:val="ListParagraph"/>
        <w:numPr>
          <w:ilvl w:val="0"/>
          <w:numId w:val="1"/>
        </w:numPr>
        <w:spacing w:after="60" w:line="245"/>
      </w:pPr>
      <w:r>
        <w:rPr>
          <w:rFonts w:ascii="Calibri" w:cs="Calibri" w:eastAsia="Calibri" w:hAnsi="Calibri"/>
          <w:sz w:val="17"/>
          <w:szCs w:val="17"/>
        </w:rPr>
        <w:t xml:space="preserve">Notify the control room that the task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KBK-MIR-MP-PRO-OPE-SOP-0004 SG Determination by Marcy Scale</w:t>
      </w:r>
    </w:p>
    <w:p>
      <w:pPr>
        <w:pStyle w:val="ListParagraph"/>
        <w:numPr>
          <w:ilvl w:val="0"/>
          <w:numId w:val="1"/>
        </w:numPr>
        <w:spacing w:after="60" w:line="245"/>
      </w:pPr>
      <w:r>
        <w:rPr>
          <w:rFonts w:ascii="Calibri" w:cs="Calibri" w:eastAsia="Calibri" w:hAnsi="Calibri"/>
          <w:sz w:val="17"/>
          <w:szCs w:val="17"/>
        </w:rPr>
        <w:t xml:space="preserve">KBK-MIR-MP-PRO-MET-SOP-0045 Pengukuran Densitas Lumpur, received 11 Aug 2026</w:t>
      </w:r>
    </w:p>
    <w:p>
      <w:pPr>
        <w:pStyle w:val="ListParagraph"/>
        <w:numPr>
          <w:ilvl w:val="0"/>
          <w:numId w:val="1"/>
        </w:numPr>
        <w:spacing w:after="60" w:line="245"/>
      </w:pPr>
      <w:r>
        <w:rPr>
          <w:rFonts w:ascii="Calibri" w:cs="Calibri" w:eastAsia="Calibri" w:hAnsi="Calibri"/>
          <w:sz w:val="17"/>
          <w:szCs w:val="17"/>
        </w:rPr>
        <w:t xml:space="preserve">4034-002-VE-025 McLanahan rotary scrubber IO&amp;M and 4034-001-VE-038 IsaMill control philosophy, both received 11 Aug 2026</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SWI-PRO-MET-203-002  ·  Slurry Flow, Density and Tonnage Verification Survey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