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WORK INSTRUCTION</w:t>
      </w:r>
    </w:p>
    <w:p>
      <w:pPr>
        <w:pBdr>
          <w:bottom w:val="single" w:sz="8" w:space="4" w:color="1F3864"/>
        </w:pBdr>
        <w:spacing w:after="80" w:before="0" w:line="300"/>
      </w:pPr>
      <w:r>
        <w:rPr>
          <w:rFonts w:ascii="Calibri" w:cs="Calibri" w:eastAsia="Calibri" w:hAnsi="Calibri"/>
          <w:b/>
          <w:bCs/>
          <w:color w:val="1F3864"/>
          <w:sz w:val="32"/>
          <w:szCs w:val="32"/>
        </w:rPr>
        <w:t xml:space="preserve">Leach and CIL Profile Survey - Tank-by-Tank Gold and Cyanide Profile</w:t>
      </w:r>
    </w:p>
    <w:p>
      <w:pPr>
        <w:spacing w:after="140" w:before="0" w:line="245"/>
      </w:pPr>
      <w:r>
        <w:rPr>
          <w:rFonts w:ascii="Calibri" w:cs="Calibri" w:eastAsia="Calibri" w:hAnsi="Calibri"/>
          <w:color w:val="555555"/>
          <w:sz w:val="17"/>
          <w:szCs w:val="17"/>
        </w:rPr>
        <w:t xml:space="preserve">Standard Work Instruction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SWI-PRO-MET-203-005</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JSEA reference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JSEA-PRO-MET-203-005</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203  Plant Surveys</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Parent procedure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HM-PRC-VXX-PRO207  Plant Surveys and Circuit Performance Assessment</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Classification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Safety-critical</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p>
      <w:pPr>
        <w:pStyle w:val="Heading1"/>
        <w:spacing w:after="120" w:before="260"/>
      </w:pPr>
      <w:r>
        <w:rPr>
          <w:rFonts w:ascii="Calibri" w:cs="Calibri" w:eastAsia="Calibri" w:hAnsi="Calibri"/>
          <w:b/>
          <w:bCs/>
          <w:color w:val="1F3864"/>
          <w:sz w:val="24"/>
          <w:szCs w:val="24"/>
        </w:rPr>
        <w:t xml:space="preserve">1  TASK AND SCOPE</w:t>
      </w:r>
    </w:p>
    <w:p>
      <w:pPr>
        <w:spacing w:after="60" w:before="0" w:line="245"/>
      </w:pPr>
      <w:r>
        <w:rPr>
          <w:rFonts w:ascii="Calibri" w:cs="Calibri" w:eastAsia="Calibri" w:hAnsi="Calibri"/>
          <w:sz w:val="17"/>
          <w:szCs w:val="17"/>
        </w:rPr>
        <w:t xml:space="preserve">Build the tank-by-tank gold and cyanide profile down the leach and CIL trains.</w:t>
      </w:r>
    </w:p>
    <w:p>
      <w:pPr>
        <w:spacing w:after="60" w:before="0" w:line="245"/>
      </w:pPr>
      <w:r>
        <w:rPr>
          <w:rFonts w:ascii="Calibri" w:cs="Calibri" w:eastAsia="Calibri" w:hAnsi="Calibri"/>
          <w:sz w:val="17"/>
          <w:szCs w:val="17"/>
        </w:rPr>
        <w:t xml:space="preserve">The profile shows where the leach is finishing and where adsorption is actually happening. Without it, carbon is moved and cyanide is dosed on guesswork.</w:t>
      </w:r>
    </w:p>
    <w:p>
      <w:pPr>
        <w:spacing w:after="60" w:before="0" w:line="245"/>
      </w:pPr>
      <w:r>
        <w:rPr>
          <w:rFonts w:ascii="Calibri" w:cs="Calibri" w:eastAsia="Calibri" w:hAnsi="Calibri"/>
          <w:sz w:val="17"/>
          <w:szCs w:val="17"/>
        </w:rPr>
        <w:t xml:space="preserve">Points and equipment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Tag / point</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Description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031-TK-001</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Leach tank</w:t>
            </w:r>
          </w:p>
        </w:tc>
      </w:tr>
      <w:tr>
        <w:tc>
          <w:tcPr>
            <w:tcW w:type="dxa" w:w="26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032-TK-002 to -006</w:t>
            </w:r>
          </w:p>
        </w:tc>
        <w:tc>
          <w:tcPr>
            <w:tcW w:type="dxa" w:w="64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CIL tanks 1 to 5</w:t>
            </w:r>
          </w:p>
        </w:tc>
      </w:tr>
    </w:tbl>
    <w:p>
      <w:pPr>
        <w:spacing w:after="60" w:before="0" w:line="245"/>
      </w:pPr>
    </w:p>
    <w:p>
      <w:pPr>
        <w:spacing w:after="60" w:before="0" w:line="245"/>
      </w:pPr>
      <w:r>
        <w:rPr>
          <w:rFonts w:ascii="Calibri" w:cs="Calibri" w:eastAsia="Calibri" w:hAnsi="Calibri"/>
          <w:sz w:val="17"/>
          <w:szCs w:val="17"/>
        </w:rPr>
        <w:t xml:space="preserve">Frequency: Quarterly, and whenever recovery moves without an obvious cause.</w:t>
      </w:r>
    </w:p>
    <w:p>
      <w:pPr>
        <w:spacing w:after="60" w:before="0" w:line="245"/>
      </w:pPr>
      <w:r>
        <w:rPr>
          <w:rFonts w:ascii="Calibri" w:cs="Calibri" w:eastAsia="Calibri" w:hAnsi="Calibri"/>
          <w:sz w:val="17"/>
          <w:szCs w:val="17"/>
        </w:rPr>
        <w:t xml:space="preserve">This instruction sits under Standard Work Procedure HM-PRC-VXX-PRO207 - Plant Surveys and Circuit Performance Assessment. Read that procedure before carrying out this task for the first time.</w:t>
      </w:r>
    </w:p>
    <w:p>
      <w:pPr>
        <w:spacing w:after="60" w:before="0" w:line="245"/>
      </w:pPr>
      <w:r>
        <w:rPr>
          <w:rFonts w:ascii="Calibri" w:cs="Calibri" w:eastAsia="Calibri" w:hAnsi="Calibri"/>
          <w:sz w:val="17"/>
          <w:szCs w:val="17"/>
        </w:rPr>
        <w:t xml:space="preserve">Register line: SWI-PRO-MET-203-005 in HM-MMM-WHS-REG-XXX-R00-SWI-SWMS, tab SWI-MET. The matching hazard analysis is JSEA-PRO-MET-203-005.</w:t>
      </w:r>
    </w:p>
    <w:p>
      <w:pPr>
        <w:pStyle w:val="Heading1"/>
        <w:spacing w:after="120" w:before="260"/>
      </w:pPr>
      <w:r>
        <w:rPr>
          <w:rFonts w:ascii="Calibri" w:cs="Calibri" w:eastAsia="Calibri" w:hAnsi="Calibri"/>
          <w:b/>
          <w:bCs/>
          <w:color w:val="1F3864"/>
          <w:sz w:val="24"/>
          <w:szCs w:val="24"/>
        </w:rPr>
        <w:t xml:space="preserve">2  WHO MAY DO THIS</w:t>
      </w:r>
    </w:p>
    <w:p>
      <w:pPr>
        <w:pStyle w:val="ListParagraph"/>
        <w:numPr>
          <w:ilvl w:val="0"/>
          <w:numId w:val="1"/>
        </w:numPr>
        <w:spacing w:after="60" w:line="245"/>
      </w:pPr>
      <w:r>
        <w:rPr>
          <w:rFonts w:ascii="Calibri" w:cs="Calibri" w:eastAsia="Calibri" w:hAnsi="Calibri"/>
          <w:sz w:val="17"/>
          <w:szCs w:val="17"/>
        </w:rPr>
        <w:t xml:space="preserve">Trained and signed off against this instruction.</w:t>
      </w:r>
    </w:p>
    <w:p>
      <w:pPr>
        <w:pStyle w:val="ListParagraph"/>
        <w:numPr>
          <w:ilvl w:val="0"/>
          <w:numId w:val="1"/>
        </w:numPr>
        <w:spacing w:after="60" w:line="245"/>
      </w:pPr>
      <w:r>
        <w:rPr>
          <w:rFonts w:ascii="Calibri" w:cs="Calibri" w:eastAsia="Calibri" w:hAnsi="Calibri"/>
          <w:sz w:val="17"/>
          <w:szCs w:val="17"/>
        </w:rPr>
        <w:t xml:space="preserve">Signed on to JSEA JSEA-PRO-MET-203-005 at a communication session.</w:t>
      </w:r>
    </w:p>
    <w:p>
      <w:pPr>
        <w:pStyle w:val="ListParagraph"/>
        <w:numPr>
          <w:ilvl w:val="0"/>
          <w:numId w:val="1"/>
        </w:numPr>
        <w:spacing w:after="60" w:line="245"/>
      </w:pPr>
      <w:r>
        <w:rPr>
          <w:rFonts w:ascii="Calibri" w:cs="Calibri" w:eastAsia="Calibri" w:hAnsi="Calibri"/>
          <w:sz w:val="17"/>
          <w:szCs w:val="17"/>
        </w:rPr>
        <w:t xml:space="preserve">Site inducted, with current 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Authorised by the Shift Supervisor before the task starts.</w:t>
      </w:r>
    </w:p>
    <w:p>
      <w:pPr>
        <w:spacing w:after="60" w:before="0" w:line="245"/>
      </w:pPr>
      <w:r>
        <w:rPr>
          <w:rFonts w:ascii="Calibri" w:cs="Calibri" w:eastAsia="Calibri" w:hAnsi="Calibri"/>
          <w:b/>
          <w:bCs/>
          <w:sz w:val="17"/>
          <w:szCs w:val="17"/>
        </w:rPr>
        <w:t xml:space="preserve">This is a safety-critical task. It is not carried out alone in a cyanide area, and not without the Shift Supervisor knowing it is in progress.</w:t>
      </w:r>
    </w:p>
    <w:p>
      <w:pPr>
        <w:pStyle w:val="Heading1"/>
        <w:spacing w:after="120" w:before="260"/>
      </w:pPr>
      <w:r>
        <w:rPr>
          <w:rFonts w:ascii="Calibri" w:cs="Calibri" w:eastAsia="Calibri" w:hAnsi="Calibri"/>
          <w:b/>
          <w:bCs/>
          <w:color w:val="1F3864"/>
          <w:sz w:val="24"/>
          <w:szCs w:val="24"/>
        </w:rPr>
        <w:t xml:space="preserve">3  HAZARDS SPECIFIC TO THIS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Hazard</w:t>
            </w:r>
          </w:p>
        </w:tc>
        <w:tc>
          <w:tcPr>
            <w:tcW w:type="dxa" w:w="61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Control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Hydrogen cyanide gas released at the open sample point</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Splash of cyanide-bearing slurry or solution to skin or eyes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Fall from a tank top, launder platform, column platform or access ladder</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Fixed platforms, stairways and handrails used in preference to any other access. Harness and fall arrest where no fixed platform exists. Three points of contact on ladders. No sampling at height alone. Sample containers carried in a bag or hoisted, not in the hand on a ladder.</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Contact with an agitator, sample cutter, pump or screen that starts without warning</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Much of the plant is automated and equipment can start or stop without warning. Guards confirmed in place before approaching. Control room notified before the round starts and again on completion. Isolation and lock-out before any guard or cutter housing is opened.</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Working alone in a cyanide area where a collapse would not be seen</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Cyanide-area sampling is not done alone. Control room notified at the start and end of every round. Radio check-in at the interval set by the Shift Supervisor.</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Confined space atmosphere at a tank top hatch, launder or hopper opening</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No entry. Sampling is done from outside the opening only. Confined space entry, if it is ever needed for a sample point, requires a permit, atmosphere testing, isolation, a standby person and a rescue plan under the site confined space procedure.</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Slip, trip or fall on wet or slurry-covered walkways around sample points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Spillage cleaned up immediately and the point left clean. Walkways kept clear of hoses, buckets and containers. Safety boots with sound tread. Report any damaged or missing grating before use.</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Non-representative sample leading to a wrong process decision</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Cross-contamination from a container or cutter not cleaned between points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Bucket, container, cutter and sieve rinsed with process water and then with the stream being sampled, and the rinse discarded, before every sample. Dedicated containers for high-grade streams. Labels checked against the schedule before handover.</w:t>
            </w:r>
          </w:p>
        </w:tc>
      </w:tr>
    </w:tbl>
    <w:p>
      <w:pPr>
        <w:spacing w:after="60" w:before="0" w:line="245"/>
      </w:pPr>
    </w:p>
    <w:p>
      <w:pPr>
        <w:spacing w:after="60" w:before="0" w:line="245"/>
      </w:pPr>
      <w:r>
        <w:rPr>
          <w:rFonts w:ascii="Calibri" w:cs="Calibri" w:eastAsia="Calibri" w:hAnsi="Calibri"/>
          <w:i/>
          <w:iCs/>
          <w:sz w:val="17"/>
          <w:szCs w:val="17"/>
        </w:rPr>
        <w:t xml:space="preserve">The full step-by-step hazard analysis, with the risk ranking, is in JSEA JSEA-PRO-MET-203-005 Section 4.</w:t>
      </w:r>
    </w:p>
    <w:p>
      <w:pPr>
        <w:pStyle w:val="Heading1"/>
        <w:spacing w:after="120" w:before="260"/>
      </w:pPr>
      <w:r>
        <w:rPr>
          <w:rFonts w:ascii="Calibri" w:cs="Calibri" w:eastAsia="Calibri" w:hAnsi="Calibri"/>
          <w:b/>
          <w:bCs/>
          <w:color w:val="1F3864"/>
          <w:sz w:val="24"/>
          <w:szCs w:val="24"/>
        </w:rPr>
        <w:t xml:space="preserve">4  PPE</w:t>
      </w:r>
    </w:p>
    <w:p>
      <w:pPr>
        <w:pStyle w:val="ListParagraph"/>
        <w:numPr>
          <w:ilvl w:val="0"/>
          <w:numId w:val="1"/>
        </w:numPr>
        <w:spacing w:after="60" w:line="245"/>
      </w:pPr>
      <w:r>
        <w:rPr>
          <w:rFonts w:ascii="Calibri" w:cs="Calibri" w:eastAsia="Calibri" w:hAnsi="Calibri"/>
          <w:sz w:val="17"/>
          <w:szCs w:val="17"/>
        </w:rPr>
        <w:t xml:space="preserve">Hard hat</w:t>
      </w:r>
    </w:p>
    <w:p>
      <w:pPr>
        <w:pStyle w:val="ListParagraph"/>
        <w:numPr>
          <w:ilvl w:val="0"/>
          <w:numId w:val="1"/>
        </w:numPr>
        <w:spacing w:after="60" w:line="245"/>
      </w:pPr>
      <w:r>
        <w:rPr>
          <w:rFonts w:ascii="Calibri" w:cs="Calibri" w:eastAsia="Calibri" w:hAnsi="Calibri"/>
          <w:sz w:val="17"/>
          <w:szCs w:val="17"/>
        </w:rPr>
        <w:t xml:space="preserve">Safety glasses</w:t>
      </w:r>
    </w:p>
    <w:p>
      <w:pPr>
        <w:pStyle w:val="ListParagraph"/>
        <w:numPr>
          <w:ilvl w:val="0"/>
          <w:numId w:val="1"/>
        </w:numPr>
        <w:spacing w:after="60" w:line="245"/>
      </w:pPr>
      <w:r>
        <w:rPr>
          <w:rFonts w:ascii="Calibri" w:cs="Calibri" w:eastAsia="Calibri" w:hAnsi="Calibri"/>
          <w:sz w:val="17"/>
          <w:szCs w:val="17"/>
        </w:rPr>
        <w:t xml:space="preserve">High-visibility long-sleeved shirt and long trousers</w:t>
      </w:r>
    </w:p>
    <w:p>
      <w:pPr>
        <w:pStyle w:val="ListParagraph"/>
        <w:numPr>
          <w:ilvl w:val="0"/>
          <w:numId w:val="1"/>
        </w:numPr>
        <w:spacing w:after="60" w:line="245"/>
      </w:pPr>
      <w:r>
        <w:rPr>
          <w:rFonts w:ascii="Calibri" w:cs="Calibri" w:eastAsia="Calibri" w:hAnsi="Calibri"/>
          <w:sz w:val="17"/>
          <w:szCs w:val="17"/>
        </w:rPr>
        <w:t xml:space="preserve">Safety boots</w:t>
      </w:r>
    </w:p>
    <w:p>
      <w:pPr>
        <w:pStyle w:val="ListParagraph"/>
        <w:numPr>
          <w:ilvl w:val="0"/>
          <w:numId w:val="1"/>
        </w:numPr>
        <w:spacing w:after="60" w:line="245"/>
      </w:pPr>
      <w:r>
        <w:rPr>
          <w:rFonts w:ascii="Calibri" w:cs="Calibri" w:eastAsia="Calibri" w:hAnsi="Calibri"/>
          <w:sz w:val="17"/>
          <w:szCs w:val="17"/>
        </w:rPr>
        <w:t xml:space="preserve">Gloves appropriate to the task</w:t>
      </w:r>
    </w:p>
    <w:p>
      <w:pPr>
        <w:pStyle w:val="ListParagraph"/>
        <w:numPr>
          <w:ilvl w:val="0"/>
          <w:numId w:val="1"/>
        </w:numPr>
        <w:spacing w:after="60" w:line="245"/>
      </w:pPr>
      <w:r>
        <w:rPr>
          <w:rFonts w:ascii="Calibri" w:cs="Calibri" w:eastAsia="Calibri" w:hAnsi="Calibri"/>
          <w:sz w:val="17"/>
          <w:szCs w:val="17"/>
        </w:rPr>
        <w:t xml:space="preserve">Personal HCN gas monitor, calibrated and in test date</w:t>
      </w:r>
    </w:p>
    <w:p>
      <w:pPr>
        <w:pStyle w:val="ListParagraph"/>
        <w:numPr>
          <w:ilvl w:val="0"/>
          <w:numId w:val="1"/>
        </w:numPr>
        <w:spacing w:after="60" w:line="245"/>
      </w:pPr>
      <w:r>
        <w:rPr>
          <w:rFonts w:ascii="Calibri" w:cs="Calibri" w:eastAsia="Calibri" w:hAnsi="Calibri"/>
          <w:sz w:val="17"/>
          <w:szCs w:val="17"/>
        </w:rPr>
        <w:t xml:space="preserve">Chemical splash goggles and face shield</w:t>
      </w:r>
    </w:p>
    <w:p>
      <w:pPr>
        <w:pStyle w:val="ListParagraph"/>
        <w:numPr>
          <w:ilvl w:val="0"/>
          <w:numId w:val="1"/>
        </w:numPr>
        <w:spacing w:after="60" w:line="245"/>
      </w:pPr>
      <w:r>
        <w:rPr>
          <w:rFonts w:ascii="Calibri" w:cs="Calibri" w:eastAsia="Calibri" w:hAnsi="Calibri"/>
          <w:sz w:val="17"/>
          <w:szCs w:val="17"/>
        </w:rPr>
        <w:t xml:space="preserve">Nitrile rubber gloves</w:t>
      </w:r>
    </w:p>
    <w:p>
      <w:pPr>
        <w:pStyle w:val="ListParagraph"/>
        <w:numPr>
          <w:ilvl w:val="0"/>
          <w:numId w:val="1"/>
        </w:numPr>
        <w:spacing w:after="60" w:line="245"/>
      </w:pPr>
      <w:r>
        <w:rPr>
          <w:rFonts w:ascii="Calibri" w:cs="Calibri" w:eastAsia="Calibri" w:hAnsi="Calibri"/>
          <w:sz w:val="17"/>
          <w:szCs w:val="17"/>
        </w:rPr>
        <w:t xml:space="preserve">Nitrile PVC boots</w:t>
      </w:r>
    </w:p>
    <w:p>
      <w:pPr>
        <w:pStyle w:val="ListParagraph"/>
        <w:numPr>
          <w:ilvl w:val="0"/>
          <w:numId w:val="1"/>
        </w:numPr>
        <w:spacing w:after="60" w:line="245"/>
      </w:pPr>
      <w:r>
        <w:rPr>
          <w:rFonts w:ascii="Calibri" w:cs="Calibri" w:eastAsia="Calibri" w:hAnsi="Calibri"/>
          <w:sz w:val="17"/>
          <w:szCs w:val="17"/>
        </w:rPr>
        <w:t xml:space="preserve">Chemical resistant suit</w:t>
      </w:r>
    </w:p>
    <w:p>
      <w:pPr>
        <w:pStyle w:val="ListParagraph"/>
        <w:numPr>
          <w:ilvl w:val="0"/>
          <w:numId w:val="1"/>
        </w:numPr>
        <w:spacing w:after="60" w:line="245"/>
      </w:pPr>
      <w:r>
        <w:rPr>
          <w:rFonts w:ascii="Calibri" w:cs="Calibri" w:eastAsia="Calibri" w:hAnsi="Calibri"/>
          <w:sz w:val="17"/>
          <w:szCs w:val="17"/>
        </w:rPr>
        <w:t xml:space="preserve">Full or half gas mask with A2B2E2K2P3 cartridge, carried and available for immediate use</w:t>
      </w:r>
    </w:p>
    <w:p>
      <w:pPr>
        <w:pStyle w:val="ListParagraph"/>
        <w:numPr>
          <w:ilvl w:val="0"/>
          <w:numId w:val="1"/>
        </w:numPr>
        <w:spacing w:after="60" w:line="245"/>
      </w:pPr>
      <w:r>
        <w:rPr>
          <w:rFonts w:ascii="Calibri" w:cs="Calibri" w:eastAsia="Calibri" w:hAnsi="Calibri"/>
          <w:sz w:val="17"/>
          <w:szCs w:val="17"/>
        </w:rPr>
        <w:t xml:space="preserve">Harness and fall arrest where no fixed platform exists</w:t>
      </w:r>
    </w:p>
    <w:p>
      <w:pPr>
        <w:pStyle w:val="Heading1"/>
        <w:spacing w:after="120" w:before="260"/>
      </w:pPr>
      <w:r>
        <w:rPr>
          <w:rFonts w:ascii="Calibri" w:cs="Calibri" w:eastAsia="Calibri" w:hAnsi="Calibri"/>
          <w:b/>
          <w:bCs/>
          <w:color w:val="1F3864"/>
          <w:sz w:val="24"/>
          <w:szCs w:val="24"/>
        </w:rPr>
        <w:t xml:space="preserve">5  BEFORE YOU START</w:t>
      </w:r>
    </w:p>
    <w:p>
      <w:pPr>
        <w:spacing w:after="60" w:before="0" w:line="245"/>
      </w:pPr>
      <w:r>
        <w:rPr>
          <w:rFonts w:ascii="Calibri" w:cs="Calibri" w:eastAsia="Calibri" w:hAnsi="Calibri"/>
          <w:sz w:val="17"/>
          <w:szCs w:val="17"/>
        </w:rPr>
        <w:t xml:space="preserve">Every item below must be true. If one is not, stop and report it.</w:t>
      </w:r>
    </w:p>
    <w:p>
      <w:pPr>
        <w:pStyle w:val="ListParagraph"/>
        <w:numPr>
          <w:ilvl w:val="0"/>
          <w:numId w:val="1"/>
        </w:numPr>
        <w:spacing w:after="60" w:line="245"/>
      </w:pPr>
      <w:r>
        <w:rPr>
          <w:rFonts w:ascii="Calibri" w:cs="Calibri" w:eastAsia="Calibri" w:hAnsi="Calibri"/>
          <w:sz w:val="17"/>
          <w:szCs w:val="17"/>
        </w:rPr>
        <w:t xml:space="preserve">Notify the control room that the task is starting, and where you will be.</w:t>
      </w:r>
    </w:p>
    <w:p>
      <w:pPr>
        <w:pStyle w:val="ListParagraph"/>
        <w:numPr>
          <w:ilvl w:val="0"/>
          <w:numId w:val="1"/>
        </w:numPr>
        <w:spacing w:after="60" w:line="245"/>
      </w:pPr>
      <w:r>
        <w:rPr>
          <w:rFonts w:ascii="Calibri" w:cs="Calibri" w:eastAsia="Calibri" w:hAnsi="Calibri"/>
          <w:sz w:val="17"/>
          <w:szCs w:val="17"/>
        </w:rPr>
        <w:t xml:space="preserve">Confirm the personal gas monitor is on, in calibration date and reading clean.</w:t>
      </w:r>
    </w:p>
    <w:p>
      <w:pPr>
        <w:pStyle w:val="ListParagraph"/>
        <w:numPr>
          <w:ilvl w:val="0"/>
          <w:numId w:val="1"/>
        </w:numPr>
        <w:spacing w:after="60" w:line="245"/>
      </w:pPr>
      <w:r>
        <w:rPr>
          <w:rFonts w:ascii="Calibri" w:cs="Calibri" w:eastAsia="Calibri" w:hAnsi="Calibri"/>
          <w:sz w:val="17"/>
          <w:szCs w:val="17"/>
        </w:rPr>
        <w:t xml:space="preserve">Confirm the safety shower and eyewash nearest the work are within reach and proven flowing.</w:t>
      </w:r>
    </w:p>
    <w:p>
      <w:pPr>
        <w:pStyle w:val="ListParagraph"/>
        <w:numPr>
          <w:ilvl w:val="0"/>
          <w:numId w:val="1"/>
        </w:numPr>
        <w:spacing w:after="60" w:line="245"/>
      </w:pPr>
      <w:r>
        <w:rPr>
          <w:rFonts w:ascii="Calibri" w:cs="Calibri" w:eastAsia="Calibri" w:hAnsi="Calibri"/>
          <w:sz w:val="17"/>
          <w:szCs w:val="17"/>
        </w:rPr>
        <w:t xml:space="preserve">Confirm the area is fit - no restricted access, no gas alarm, no spill response in progress.</w:t>
      </w:r>
    </w:p>
    <w:p>
      <w:pPr>
        <w:spacing w:after="60" w:before="0" w:line="245"/>
      </w:pPr>
      <w:r>
        <w:rPr>
          <w:rFonts w:ascii="Calibri" w:cs="Calibri" w:eastAsia="Calibri" w:hAnsi="Calibri"/>
          <w:sz w:val="17"/>
          <w:szCs w:val="17"/>
        </w:rPr>
        <w:t xml:space="preserve">Equipment required:</w:t>
      </w:r>
    </w:p>
    <w:p>
      <w:pPr>
        <w:pStyle w:val="ListParagraph"/>
        <w:numPr>
          <w:ilvl w:val="0"/>
          <w:numId w:val="1"/>
        </w:numPr>
        <w:spacing w:after="60" w:line="245"/>
      </w:pPr>
      <w:r>
        <w:rPr>
          <w:rFonts w:ascii="Calibri" w:cs="Calibri" w:eastAsia="Calibri" w:hAnsi="Calibri"/>
          <w:sz w:val="17"/>
          <w:szCs w:val="17"/>
        </w:rPr>
        <w:t xml:space="preserve">Sample containers pre-labelled by tank</w:t>
      </w:r>
    </w:p>
    <w:p>
      <w:pPr>
        <w:pStyle w:val="ListParagraph"/>
        <w:numPr>
          <w:ilvl w:val="0"/>
          <w:numId w:val="1"/>
        </w:numPr>
        <w:spacing w:after="60" w:line="245"/>
      </w:pPr>
      <w:r>
        <w:rPr>
          <w:rFonts w:ascii="Calibri" w:cs="Calibri" w:eastAsia="Calibri" w:hAnsi="Calibri"/>
          <w:sz w:val="17"/>
          <w:szCs w:val="17"/>
        </w:rPr>
        <w:t xml:space="preserve">pH meter</w:t>
      </w:r>
    </w:p>
    <w:p>
      <w:pPr>
        <w:pStyle w:val="ListParagraph"/>
        <w:numPr>
          <w:ilvl w:val="0"/>
          <w:numId w:val="1"/>
        </w:numPr>
        <w:spacing w:after="60" w:line="245"/>
      </w:pPr>
      <w:r>
        <w:rPr>
          <w:rFonts w:ascii="Calibri" w:cs="Calibri" w:eastAsia="Calibri" w:hAnsi="Calibri"/>
          <w:sz w:val="17"/>
          <w:szCs w:val="17"/>
        </w:rPr>
        <w:t xml:space="preserve">DO meter</w:t>
      </w:r>
    </w:p>
    <w:p>
      <w:pPr>
        <w:pStyle w:val="ListParagraph"/>
        <w:numPr>
          <w:ilvl w:val="0"/>
          <w:numId w:val="1"/>
        </w:numPr>
        <w:spacing w:after="60" w:line="245"/>
      </w:pPr>
      <w:r>
        <w:rPr>
          <w:rFonts w:ascii="Calibri" w:cs="Calibri" w:eastAsia="Calibri" w:hAnsi="Calibri"/>
          <w:sz w:val="17"/>
          <w:szCs w:val="17"/>
        </w:rPr>
        <w:t xml:space="preserve">Free cyanide titration kit</w:t>
      </w:r>
    </w:p>
    <w:p>
      <w:pPr>
        <w:pStyle w:val="ListParagraph"/>
        <w:numPr>
          <w:ilvl w:val="0"/>
          <w:numId w:val="1"/>
        </w:numPr>
        <w:spacing w:after="60" w:line="245"/>
      </w:pPr>
      <w:r>
        <w:rPr>
          <w:rFonts w:ascii="Calibri" w:cs="Calibri" w:eastAsia="Calibri" w:hAnsi="Calibri"/>
          <w:sz w:val="17"/>
          <w:szCs w:val="17"/>
        </w:rPr>
        <w:t xml:space="preserve">Filter press and filter paper</w:t>
      </w:r>
    </w:p>
    <w:p>
      <w:pPr>
        <w:pStyle w:val="ListParagraph"/>
        <w:numPr>
          <w:ilvl w:val="0"/>
          <w:numId w:val="1"/>
        </w:numPr>
        <w:spacing w:after="60" w:line="245"/>
      </w:pPr>
      <w:r>
        <w:rPr>
          <w:rFonts w:ascii="Calibri" w:cs="Calibri" w:eastAsia="Calibri" w:hAnsi="Calibri"/>
          <w:sz w:val="17"/>
          <w:szCs w:val="17"/>
        </w:rPr>
        <w:t xml:space="preserve">Field data sheets</w:t>
      </w:r>
    </w:p>
    <w:p>
      <w:pPr>
        <w:pStyle w:val="Heading1"/>
        <w:spacing w:after="120" w:before="260"/>
      </w:pPr>
      <w:r>
        <w:rPr>
          <w:rFonts w:ascii="Calibri" w:cs="Calibri" w:eastAsia="Calibri" w:hAnsi="Calibri"/>
          <w:b/>
          <w:bCs/>
          <w:color w:val="1F3864"/>
          <w:sz w:val="24"/>
          <w:szCs w:val="24"/>
        </w:rPr>
        <w:t xml:space="preserve">6  STEPS</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Confirm steady state and hold the circuit through the survey.</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Sample every tank in the train in sequence, in one pass, so the profile represents one moment.</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Determine pH, dissolved oxygen and free cyanide in the field at each tank.</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Filter each sample and submit solution and solids for gold assay.</w:t>
      </w:r>
    </w:p>
    <w:p>
      <w:pPr>
        <w:ind w:left="280"/>
        <w:spacing w:after="50" w:before="0" w:line="245"/>
      </w:pPr>
      <w:r>
        <w:rPr>
          <w:rFonts w:ascii="Calibri" w:cs="Calibri" w:eastAsia="Calibri" w:hAnsi="Calibri"/>
          <w:b/>
          <w:bCs/>
          <w:sz w:val="17"/>
          <w:szCs w:val="17"/>
        </w:rPr>
        <w:t xml:space="preserve">5.</w:t>
      </w:r>
      <w:r>
        <w:rPr>
          <w:rFonts w:ascii="Calibri" w:cs="Calibri" w:eastAsia="Calibri" w:hAnsi="Calibri"/>
          <w:sz w:val="17"/>
          <w:szCs w:val="17"/>
        </w:rPr>
        <w:t xml:space="preserve">  Take carbon concentration and carbon loading for each CIL tank on the same pass.</w:t>
      </w:r>
    </w:p>
    <w:p>
      <w:pPr>
        <w:ind w:left="280"/>
        <w:spacing w:after="50" w:before="0" w:line="245"/>
      </w:pPr>
      <w:r>
        <w:rPr>
          <w:rFonts w:ascii="Calibri" w:cs="Calibri" w:eastAsia="Calibri" w:hAnsi="Calibri"/>
          <w:b/>
          <w:bCs/>
          <w:sz w:val="17"/>
          <w:szCs w:val="17"/>
        </w:rPr>
        <w:t xml:space="preserve">6.</w:t>
      </w:r>
      <w:r>
        <w:rPr>
          <w:rFonts w:ascii="Calibri" w:cs="Calibri" w:eastAsia="Calibri" w:hAnsi="Calibri"/>
          <w:sz w:val="17"/>
          <w:szCs w:val="17"/>
        </w:rPr>
        <w:t xml:space="preserve">  Plot solution gold, solids gold and carbon loading down the train.</w:t>
      </w:r>
    </w:p>
    <w:p>
      <w:pPr>
        <w:ind w:left="280"/>
        <w:spacing w:after="50" w:before="0" w:line="245"/>
      </w:pPr>
      <w:r>
        <w:rPr>
          <w:rFonts w:ascii="Calibri" w:cs="Calibri" w:eastAsia="Calibri" w:hAnsi="Calibri"/>
          <w:b/>
          <w:bCs/>
          <w:sz w:val="17"/>
          <w:szCs w:val="17"/>
        </w:rPr>
        <w:t xml:space="preserve">7.</w:t>
      </w:r>
      <w:r>
        <w:rPr>
          <w:rFonts w:ascii="Calibri" w:cs="Calibri" w:eastAsia="Calibri" w:hAnsi="Calibri"/>
          <w:sz w:val="17"/>
          <w:szCs w:val="17"/>
        </w:rPr>
        <w:t xml:space="preserve">  Identify the tank where leaching finishes and the tank where adsorption stops being effective.</w:t>
      </w:r>
    </w:p>
    <w:p>
      <w:pPr>
        <w:ind w:left="280"/>
        <w:spacing w:after="50" w:before="0" w:line="245"/>
      </w:pPr>
      <w:r>
        <w:rPr>
          <w:rFonts w:ascii="Calibri" w:cs="Calibri" w:eastAsia="Calibri" w:hAnsi="Calibri"/>
          <w:b/>
          <w:bCs/>
          <w:sz w:val="17"/>
          <w:szCs w:val="17"/>
        </w:rPr>
        <w:t xml:space="preserve">8.</w:t>
      </w:r>
      <w:r>
        <w:rPr>
          <w:rFonts w:ascii="Calibri" w:cs="Calibri" w:eastAsia="Calibri" w:hAnsi="Calibri"/>
          <w:sz w:val="17"/>
          <w:szCs w:val="17"/>
        </w:rPr>
        <w:t xml:space="preserve">  Report against the design profile and recommend any carbon movement or dosing change.</w:t>
      </w:r>
    </w:p>
    <w:p>
      <w:pPr>
        <w:pStyle w:val="Heading1"/>
        <w:spacing w:after="120" w:before="260"/>
      </w:pPr>
      <w:r>
        <w:rPr>
          <w:rFonts w:ascii="Calibri" w:cs="Calibri" w:eastAsia="Calibri" w:hAnsi="Calibri"/>
          <w:b/>
          <w:bCs/>
          <w:color w:val="1F3864"/>
          <w:sz w:val="24"/>
          <w:szCs w:val="24"/>
        </w:rPr>
        <w:t xml:space="preserve">7  ON COMPLETION</w:t>
      </w:r>
    </w:p>
    <w:p>
      <w:pPr>
        <w:pStyle w:val="ListParagraph"/>
        <w:numPr>
          <w:ilvl w:val="0"/>
          <w:numId w:val="1"/>
        </w:numPr>
        <w:spacing w:after="60" w:line="245"/>
      </w:pPr>
      <w:r>
        <w:rPr>
          <w:rFonts w:ascii="Calibri" w:cs="Calibri" w:eastAsia="Calibri" w:hAnsi="Calibri"/>
          <w:sz w:val="17"/>
          <w:szCs w:val="17"/>
        </w:rPr>
        <w:t xml:space="preserve">Leave the area clean. Recover spillage to the drain, not to the ground.</w:t>
      </w:r>
    </w:p>
    <w:p>
      <w:pPr>
        <w:pStyle w:val="ListParagraph"/>
        <w:numPr>
          <w:ilvl w:val="0"/>
          <w:numId w:val="1"/>
        </w:numPr>
        <w:spacing w:after="60" w:line="245"/>
      </w:pPr>
      <w:r>
        <w:rPr>
          <w:rFonts w:ascii="Calibri" w:cs="Calibri" w:eastAsia="Calibri" w:hAnsi="Calibri"/>
          <w:sz w:val="17"/>
          <w:szCs w:val="17"/>
        </w:rPr>
        <w:t xml:space="preserve">Return all equipment to its storage point.</w:t>
      </w:r>
    </w:p>
    <w:p>
      <w:pPr>
        <w:pStyle w:val="ListParagraph"/>
        <w:numPr>
          <w:ilvl w:val="0"/>
          <w:numId w:val="1"/>
        </w:numPr>
        <w:spacing w:after="60" w:line="245"/>
      </w:pPr>
      <w:r>
        <w:rPr>
          <w:rFonts w:ascii="Calibri" w:cs="Calibri" w:eastAsia="Calibri" w:hAnsi="Calibri"/>
          <w:sz w:val="17"/>
          <w:szCs w:val="17"/>
        </w:rPr>
        <w:t xml:space="preserve">Record what was done, what was found and anything not completed.</w:t>
      </w:r>
    </w:p>
    <w:p>
      <w:pPr>
        <w:pStyle w:val="ListParagraph"/>
        <w:numPr>
          <w:ilvl w:val="0"/>
          <w:numId w:val="1"/>
        </w:numPr>
        <w:spacing w:after="60" w:line="245"/>
      </w:pPr>
      <w:r>
        <w:rPr>
          <w:rFonts w:ascii="Calibri" w:cs="Calibri" w:eastAsia="Calibri" w:hAnsi="Calibri"/>
          <w:sz w:val="17"/>
          <w:szCs w:val="17"/>
        </w:rPr>
        <w:t xml:space="preserve">Notify the control room that the task is complete.</w:t>
      </w:r>
    </w:p>
    <w:p>
      <w:pPr>
        <w:pStyle w:val="Heading1"/>
        <w:spacing w:after="120" w:before="260"/>
      </w:pPr>
      <w:r>
        <w:rPr>
          <w:rFonts w:ascii="Calibri" w:cs="Calibri" w:eastAsia="Calibri" w:hAnsi="Calibri"/>
          <w:b/>
          <w:bCs/>
          <w:color w:val="1F3864"/>
          <w:sz w:val="24"/>
          <w:szCs w:val="24"/>
        </w:rPr>
        <w:t xml:space="preserve">8  RECORDS</w:t>
      </w:r>
    </w:p>
    <w:p>
      <w:pPr>
        <w:pStyle w:val="ListParagraph"/>
        <w:numPr>
          <w:ilvl w:val="0"/>
          <w:numId w:val="1"/>
        </w:numPr>
        <w:spacing w:after="60" w:line="245"/>
      </w:pPr>
      <w:r>
        <w:rPr>
          <w:rFonts w:ascii="Calibri" w:cs="Calibri" w:eastAsia="Calibri" w:hAnsi="Calibri"/>
          <w:sz w:val="17"/>
          <w:szCs w:val="17"/>
        </w:rPr>
        <w:t xml:space="preserve">Field or bench data sheet - date, time, shift, operator, and every value determined.</w:t>
      </w:r>
    </w:p>
    <w:p>
      <w:pPr>
        <w:pStyle w:val="ListParagraph"/>
        <w:numPr>
          <w:ilvl w:val="0"/>
          <w:numId w:val="1"/>
        </w:numPr>
        <w:spacing w:after="60" w:line="245"/>
      </w:pPr>
      <w:r>
        <w:rPr>
          <w:rFonts w:ascii="Calibri" w:cs="Calibri" w:eastAsia="Calibri" w:hAnsi="Calibri"/>
          <w:sz w:val="17"/>
          <w:szCs w:val="17"/>
        </w:rPr>
        <w:t xml:space="preserve">Register or logbook entry and any handover signature.</w:t>
      </w:r>
    </w:p>
    <w:p>
      <w:pPr>
        <w:pStyle w:val="ListParagraph"/>
        <w:numPr>
          <w:ilvl w:val="0"/>
          <w:numId w:val="1"/>
        </w:numPr>
        <w:spacing w:after="60" w:line="245"/>
      </w:pPr>
      <w:r>
        <w:rPr>
          <w:rFonts w:ascii="Calibri" w:cs="Calibri" w:eastAsia="Calibri" w:hAnsi="Calibri"/>
          <w:sz w:val="17"/>
          <w:szCs w:val="17"/>
        </w:rPr>
        <w:t xml:space="preserve">Any step not completed, recorded with the reason.</w:t>
      </w:r>
    </w:p>
    <w:p>
      <w:pPr>
        <w:pStyle w:val="ListParagraph"/>
        <w:numPr>
          <w:ilvl w:val="0"/>
          <w:numId w:val="1"/>
        </w:numPr>
        <w:spacing w:after="60" w:line="245"/>
      </w:pPr>
      <w:r>
        <w:rPr>
          <w:rFonts w:ascii="Calibri" w:cs="Calibri" w:eastAsia="Calibri" w:hAnsi="Calibri"/>
          <w:sz w:val="17"/>
          <w:szCs w:val="17"/>
        </w:rPr>
        <w:t xml:space="preserve">Any control in Section 3 found not in place, reported to the Shift Supervisor and recorded.</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4034-PR-PRO-002 Sampling Protocol, Leach Area table</w:t>
      </w:r>
    </w:p>
    <w:p>
      <w:pPr>
        <w:pStyle w:val="ListParagraph"/>
        <w:numPr>
          <w:ilvl w:val="0"/>
          <w:numId w:val="1"/>
        </w:numPr>
        <w:spacing w:after="60" w:line="245"/>
      </w:pPr>
      <w:r>
        <w:rPr>
          <w:rFonts w:ascii="Calibri" w:cs="Calibri" w:eastAsia="Calibri" w:hAnsi="Calibri"/>
          <w:sz w:val="17"/>
          <w:szCs w:val="17"/>
        </w:rPr>
        <w:t xml:space="preserve">KBK-MIR-MP-PRO-MET-SOP-0019 Profil Leaching and SOP-0048 leach tank sampling and profile, both received 11 Aug 2026</w:t>
      </w:r>
    </w:p>
    <w:p>
      <w:pPr>
        <w:pStyle w:val="ListParagraph"/>
        <w:numPr>
          <w:ilvl w:val="0"/>
          <w:numId w:val="1"/>
        </w:numPr>
        <w:spacing w:after="60" w:line="245"/>
      </w:pPr>
      <w:r>
        <w:rPr>
          <w:rFonts w:ascii="Calibri" w:cs="Calibri" w:eastAsia="Calibri" w:hAnsi="Calibri"/>
          <w:sz w:val="17"/>
          <w:szCs w:val="17"/>
        </w:rPr>
        <w:t xml:space="preserve">HM-PRC-V01-PRO004 Leach Circuit and PRO005 Carbon in Leach</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SWI-PRO-MET-203-005  ·  Leach and CIL Profile Survey - Tank-by-Tank Gold and Cyanide Profile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