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Elution and Electrowinning Batch Performance Assessment</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SWI-PRO-MET-203-008</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JSEA-PRO-MET-203-008</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203  Plant Surveys</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HM-PRC-VXX-PRO207  Plant Surveys and Circuit Performance Assessment</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Assess how well each elution batch stripped, and how well electrowinning recovered what was stripped.</w:t>
      </w:r>
    </w:p>
    <w:p>
      <w:pPr>
        <w:spacing w:after="60" w:before="0" w:line="245"/>
      </w:pPr>
      <w:r>
        <w:rPr>
          <w:rFonts w:ascii="Calibri" w:cs="Calibri" w:eastAsia="Calibri" w:hAnsi="Calibri"/>
          <w:sz w:val="17"/>
          <w:szCs w:val="17"/>
        </w:rPr>
        <w:t xml:space="preserve">Barren carbon loading and barren electrolyte are the two numbers that say whether the gold room is working.</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061</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Elution circuit - loaded and barren carbon, eluate</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062</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Electrowinning - feed and barren</w:t>
            </w:r>
          </w:p>
        </w:tc>
      </w:tr>
    </w:tbl>
    <w:p>
      <w:pPr>
        <w:spacing w:after="60" w:before="0" w:line="245"/>
      </w:pPr>
    </w:p>
    <w:p>
      <w:pPr>
        <w:spacing w:after="60" w:before="0" w:line="245"/>
      </w:pPr>
      <w:r>
        <w:rPr>
          <w:rFonts w:ascii="Calibri" w:cs="Calibri" w:eastAsia="Calibri" w:hAnsi="Calibri"/>
          <w:sz w:val="17"/>
          <w:szCs w:val="17"/>
        </w:rPr>
        <w:t xml:space="preserve">Frequency: Every batch, assessed and trended monthly.</w:t>
      </w:r>
    </w:p>
    <w:p>
      <w:pPr>
        <w:spacing w:after="60" w:before="0" w:line="245"/>
      </w:pPr>
      <w:r>
        <w:rPr>
          <w:rFonts w:ascii="Calibri" w:cs="Calibri" w:eastAsia="Calibri" w:hAnsi="Calibri"/>
          <w:sz w:val="17"/>
          <w:szCs w:val="17"/>
        </w:rPr>
        <w:t xml:space="preserve">This instruction sits under Standard Work Procedure HM-PRC-VXX-PRO207 - Plant Surveys and Circuit Performance Assessment. Read that procedure before carrying out this task for the first time.</w:t>
      </w:r>
    </w:p>
    <w:p>
      <w:pPr>
        <w:spacing w:after="60" w:before="0" w:line="245"/>
      </w:pPr>
      <w:r>
        <w:rPr>
          <w:rFonts w:ascii="Calibri" w:cs="Calibri" w:eastAsia="Calibri" w:hAnsi="Calibri"/>
          <w:sz w:val="17"/>
          <w:szCs w:val="17"/>
        </w:rPr>
        <w:t xml:space="preserve">Register line: SWI-PRO-MET-203-008 in HM-MMM-WHS-REG-XXX-R00-SWI-SWMS, tab SWI-MET. The matching hazard analysis is JSEA-PRO-MET-203-008.</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JSEA-PRO-MET-203-008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hot solution or hot surface at the elution, stripping or regeneration circuits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Confirm the circuit is not on a heating cycle before sampling. Heat-resistant gloves and face shield. Allow the sample line to flush and cool before collecting. Do not sample a column under pressure.</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Mercury vapour in the gold room, elution and retort areas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Area ventilation confirmed running before entry. Mercury vapour monitoring where the site procedure requires it. No eating, drinking or smoking. Hands washed before leaving the area.</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live electrical equipment at a sample pump, cutter or local control station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No opening of electrical enclosures. Faults reported, not investigated. Isolation, lock-out, tag-out and test-for-dead by an authorised person before any electrical work.</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Working alone in a cyanide area where a collapse would not be seen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Cyanide-area sampling is not done alone. Control room notified at the start and end of every round. Radio check-in at the interval set by the Shift Supervisor.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JSEA-PRO-MET-203-008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Heat-resistant gloves</w:t>
      </w:r>
    </w:p>
    <w:p>
      <w:pPr>
        <w:pStyle w:val="ListParagraph"/>
        <w:numPr>
          <w:ilvl w:val="0"/>
          <w:numId w:val="1"/>
        </w:numPr>
        <w:spacing w:after="60" w:line="245"/>
      </w:pPr>
      <w:r>
        <w:rPr>
          <w:rFonts w:ascii="Calibri" w:cs="Calibri" w:eastAsia="Calibri" w:hAnsi="Calibri"/>
          <w:sz w:val="17"/>
          <w:szCs w:val="17"/>
        </w:rPr>
        <w:t xml:space="preserve">Face shield</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Notify the control room that the task is starting, and where you will be.</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work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area is fit - no restricted access, no gas alarm, no spill response in progress.</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Sample bottles, heat resistant</w:t>
      </w:r>
    </w:p>
    <w:p>
      <w:pPr>
        <w:pStyle w:val="ListParagraph"/>
        <w:numPr>
          <w:ilvl w:val="0"/>
          <w:numId w:val="1"/>
        </w:numPr>
        <w:spacing w:after="60" w:line="245"/>
      </w:pPr>
      <w:r>
        <w:rPr>
          <w:rFonts w:ascii="Calibri" w:cs="Calibri" w:eastAsia="Calibri" w:hAnsi="Calibri"/>
          <w:sz w:val="17"/>
          <w:szCs w:val="17"/>
        </w:rPr>
        <w:t xml:space="preserve">Field data sheets</w:t>
      </w:r>
    </w:p>
    <w:p>
      <w:pPr>
        <w:pStyle w:val="ListParagraph"/>
        <w:numPr>
          <w:ilvl w:val="0"/>
          <w:numId w:val="1"/>
        </w:numPr>
        <w:spacing w:after="60" w:line="245"/>
      </w:pPr>
      <w:r>
        <w:rPr>
          <w:rFonts w:ascii="Calibri" w:cs="Calibri" w:eastAsia="Calibri" w:hAnsi="Calibri"/>
          <w:sz w:val="17"/>
          <w:szCs w:val="17"/>
        </w:rPr>
        <w:t xml:space="preserve">Batch records from the control system</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Take the batch record - strip temperature, flow, caustic and cyanide strength, cycle time.</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Take loaded carbon and barren carbon assays for the batch.</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Take eluate assay through the strip, and electrowinning feed and barren electrolyte assays.</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Calculate strip efficiency from loaded and barren carbon loading.</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Calculate electrowinning efficiency from feed and barren electrolyte.</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Compare against the design strip conditions in the Applied Heat manual and against the previous batches.</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Where strip efficiency is falling, check the strip conditions before blaming the carbon - temperature and eluant strength are the usual causes.</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Report the batch performance with the monthly close.</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Leave the area clean. Recover spillage to the drain, not to the ground.</w:t>
      </w:r>
    </w:p>
    <w:p>
      <w:pPr>
        <w:pStyle w:val="ListParagraph"/>
        <w:numPr>
          <w:ilvl w:val="0"/>
          <w:numId w:val="1"/>
        </w:numPr>
        <w:spacing w:after="60" w:line="245"/>
      </w:pPr>
      <w:r>
        <w:rPr>
          <w:rFonts w:ascii="Calibri" w:cs="Calibri" w:eastAsia="Calibri" w:hAnsi="Calibri"/>
          <w:sz w:val="17"/>
          <w:szCs w:val="17"/>
        </w:rPr>
        <w:t xml:space="preserve">Return all equipment to its storage point.</w:t>
      </w:r>
    </w:p>
    <w:p>
      <w:pPr>
        <w:pStyle w:val="ListParagraph"/>
        <w:numPr>
          <w:ilvl w:val="0"/>
          <w:numId w:val="1"/>
        </w:numPr>
        <w:spacing w:after="60" w:line="245"/>
      </w:pPr>
      <w:r>
        <w:rPr>
          <w:rFonts w:ascii="Calibri" w:cs="Calibri" w:eastAsia="Calibri" w:hAnsi="Calibri"/>
          <w:sz w:val="17"/>
          <w:szCs w:val="17"/>
        </w:rPr>
        <w:t xml:space="preserve">Record what was done, what was found and anything not completed.</w:t>
      </w:r>
    </w:p>
    <w:p>
      <w:pPr>
        <w:pStyle w:val="ListParagraph"/>
        <w:numPr>
          <w:ilvl w:val="0"/>
          <w:numId w:val="1"/>
        </w:numPr>
        <w:spacing w:after="60" w:line="245"/>
      </w:pPr>
      <w:r>
        <w:rPr>
          <w:rFonts w:ascii="Calibri" w:cs="Calibri" w:eastAsia="Calibri" w:hAnsi="Calibri"/>
          <w:sz w:val="17"/>
          <w:szCs w:val="17"/>
        </w:rPr>
        <w:t xml:space="preserve">Notify the control room that the task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4034-013-VE-028 Applied Heat Thermomat 2300 O&amp;M manual, received 11 Aug 2026 - strip temperatures and circuit design conditions</w:t>
      </w:r>
    </w:p>
    <w:p>
      <w:pPr>
        <w:pStyle w:val="ListParagraph"/>
        <w:numPr>
          <w:ilvl w:val="0"/>
          <w:numId w:val="1"/>
        </w:numPr>
        <w:spacing w:after="60" w:line="245"/>
      </w:pPr>
      <w:r>
        <w:rPr>
          <w:rFonts w:ascii="Calibri" w:cs="Calibri" w:eastAsia="Calibri" w:hAnsi="Calibri"/>
          <w:sz w:val="17"/>
          <w:szCs w:val="17"/>
        </w:rPr>
        <w:t xml:space="preserve">4034-014-VE-004 and -019 Stantil carbon regeneration kiln control philosophy and IOM, received 11 Aug 2026</w:t>
      </w:r>
    </w:p>
    <w:p>
      <w:pPr>
        <w:pStyle w:val="ListParagraph"/>
        <w:numPr>
          <w:ilvl w:val="0"/>
          <w:numId w:val="1"/>
        </w:numPr>
        <w:spacing w:after="60" w:line="245"/>
      </w:pPr>
      <w:r>
        <w:rPr>
          <w:rFonts w:ascii="Calibri" w:cs="Calibri" w:eastAsia="Calibri" w:hAnsi="Calibri"/>
          <w:sz w:val="17"/>
          <w:szCs w:val="17"/>
        </w:rPr>
        <w:t xml:space="preserve">HM-PRC-V01-PRO011 Gold Elution and PRO013 Gold Electrowinning</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SWI-PRO-MET-203-008  ·  Elution and Electrowinning Batch Performance Assessment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