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Reagent Dosing Verification and Dosing Pump Calibration Check</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SWI-PRO-MET-203-009</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JSEA-PRO-MET-203-009</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203  Plant Surveys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HM-PRC-VXX-PRO207  Plant Surveys and Circuit Performance Assessment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Prove that each dosing pump is delivering what the control system says it is delivering.</w:t>
      </w:r>
    </w:p>
    <w:p>
      <w:pPr>
        <w:spacing w:after="60" w:before="0" w:line="245"/>
      </w:pPr>
      <w:r>
        <w:rPr>
          <w:rFonts w:ascii="Calibri" w:cs="Calibri" w:eastAsia="Calibri" w:hAnsi="Calibri"/>
          <w:sz w:val="17"/>
          <w:szCs w:val="17"/>
        </w:rPr>
        <w:t xml:space="preserve">A dosing pump out of calibration means the circuit is being dosed at a rate nobody knows, and the reagent reconciliation will never close.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101 to 107</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All reagent dosing pumps</w:t>
            </w:r>
          </w:p>
        </w:tc>
      </w:tr>
    </w:tbl>
    <w:p>
      <w:pPr>
        <w:spacing w:after="60" w:before="0" w:line="245"/>
      </w:pPr>
    </w:p>
    <w:p>
      <w:pPr>
        <w:spacing w:after="60" w:before="0" w:line="245"/>
      </w:pPr>
      <w:r>
        <w:rPr>
          <w:rFonts w:ascii="Calibri" w:cs="Calibri" w:eastAsia="Calibri" w:hAnsi="Calibri"/>
          <w:sz w:val="17"/>
          <w:szCs w:val="17"/>
        </w:rPr>
        <w:t xml:space="preserve">Frequency: Quarterly, and after any dosing pump repair or replacement.</w:t>
      </w:r>
    </w:p>
    <w:p>
      <w:pPr>
        <w:spacing w:after="60" w:before="0" w:line="245"/>
      </w:pPr>
      <w:r>
        <w:rPr>
          <w:rFonts w:ascii="Calibri" w:cs="Calibri" w:eastAsia="Calibri" w:hAnsi="Calibri"/>
          <w:sz w:val="17"/>
          <w:szCs w:val="17"/>
        </w:rPr>
        <w:t xml:space="preserve">This instruction sits under Standard Work Procedure HM-PRC-VXX-PRO207 - Plant Surveys and Circuit Performance Assessment. Read that procedure before carrying out this task for the first time.</w:t>
      </w:r>
    </w:p>
    <w:p>
      <w:pPr>
        <w:spacing w:after="60" w:before="0" w:line="245"/>
      </w:pPr>
      <w:r>
        <w:rPr>
          <w:rFonts w:ascii="Calibri" w:cs="Calibri" w:eastAsia="Calibri" w:hAnsi="Calibri"/>
          <w:sz w:val="17"/>
          <w:szCs w:val="17"/>
        </w:rPr>
        <w:t xml:space="preserve">Register line: SWI-PRO-MET-203-009 in HM-MMM-WHS-REG-XXX-R00-SWI-SWMS, tab SWI-MET. The matching hazard analysis is JSEA-PRO-MET-203-009.</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JSEA-PRO-MET-203-009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sulphide released from sodium hydrosulphide or from an acidified sulphide stream</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multi-gas monitor including H2S worn and in calibration date. Area ventilation confirmed running. Two people, one clear. Withdraw upwind on any alarm. No sampling of the NaSH circuit during acid dosing.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JSEA-PRO-MET-203-009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ListParagraph"/>
        <w:numPr>
          <w:ilvl w:val="0"/>
          <w:numId w:val="1"/>
        </w:numPr>
        <w:spacing w:after="60" w:line="245"/>
      </w:pPr>
      <w:r>
        <w:rPr>
          <w:rFonts w:ascii="Calibri" w:cs="Calibri" w:eastAsia="Calibri" w:hAnsi="Calibri"/>
          <w:sz w:val="17"/>
          <w:szCs w:val="17"/>
        </w:rPr>
        <w:t xml:space="preserve">Personal multi-gas monitor including H2S, calibrated and in test date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Calibrated measuring cylinder</w:t>
      </w:r>
    </w:p>
    <w:p>
      <w:pPr>
        <w:pStyle w:val="ListParagraph"/>
        <w:numPr>
          <w:ilvl w:val="0"/>
          <w:numId w:val="1"/>
        </w:numPr>
        <w:spacing w:after="60" w:line="245"/>
      </w:pPr>
      <w:r>
        <w:rPr>
          <w:rFonts w:ascii="Calibri" w:cs="Calibri" w:eastAsia="Calibri" w:hAnsi="Calibri"/>
          <w:sz w:val="17"/>
          <w:szCs w:val="17"/>
        </w:rPr>
        <w:t xml:space="preserve">Stopwatch</w:t>
      </w:r>
    </w:p>
    <w:p>
      <w:pPr>
        <w:pStyle w:val="ListParagraph"/>
        <w:numPr>
          <w:ilvl w:val="0"/>
          <w:numId w:val="1"/>
        </w:numPr>
        <w:spacing w:after="60" w:line="245"/>
      </w:pPr>
      <w:r>
        <w:rPr>
          <w:rFonts w:ascii="Calibri" w:cs="Calibri" w:eastAsia="Calibri" w:hAnsi="Calibri"/>
          <w:sz w:val="17"/>
          <w:szCs w:val="17"/>
        </w:rPr>
        <w:t xml:space="preserve">Bucket</w:t>
      </w:r>
    </w:p>
    <w:p>
      <w:pPr>
        <w:pStyle w:val="ListParagraph"/>
        <w:numPr>
          <w:ilvl w:val="0"/>
          <w:numId w:val="1"/>
        </w:numPr>
        <w:spacing w:after="60" w:line="245"/>
      </w:pPr>
      <w:r>
        <w:rPr>
          <w:rFonts w:ascii="Calibri" w:cs="Calibri" w:eastAsia="Calibri" w:hAnsi="Calibri"/>
          <w:sz w:val="17"/>
          <w:szCs w:val="17"/>
        </w:rPr>
        <w:t xml:space="preserve">Field data sheets</w:t>
      </w:r>
    </w:p>
    <w:p>
      <w:pPr>
        <w:pStyle w:val="ListParagraph"/>
        <w:numPr>
          <w:ilvl w:val="0"/>
          <w:numId w:val="1"/>
        </w:numPr>
        <w:spacing w:after="60" w:line="245"/>
      </w:pPr>
      <w:r>
        <w:rPr>
          <w:rFonts w:ascii="Calibri" w:cs="Calibri" w:eastAsia="Calibri" w:hAnsi="Calibri"/>
          <w:sz w:val="17"/>
          <w:szCs w:val="17"/>
        </w:rPr>
        <w:t xml:space="preserve">PPE matched to the reagent being checked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with the control room which pump is being checked and that the circuit can tolerate a short interruption to that dose.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Read the strength of the made-up reagent from the current batch record - a dose check against an off-strength reagent proves nothing.</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Divert the pump discharge to a measuring cylinder for a timed period, using the designated calibration connection. Never break a live dosing line to do this.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the volume delivered and the time, and calculate the actual rate.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Compare against the rate the control system indicates and against the setpoint.</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Repeat three times and take the mean.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any pump outside tolerance for recalibration, and record the correction factor in the interim.</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Restore the pump to service and confirm the dose has resumed.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HM-PRC-V01-PRO021 to PRO027 reagent procedures</w:t>
      </w:r>
    </w:p>
    <w:p>
      <w:pPr>
        <w:pStyle w:val="ListParagraph"/>
        <w:numPr>
          <w:ilvl w:val="0"/>
          <w:numId w:val="1"/>
        </w:numPr>
        <w:spacing w:after="60" w:line="245"/>
      </w:pPr>
      <w:r>
        <w:rPr>
          <w:rFonts w:ascii="Calibri" w:cs="Calibri" w:eastAsia="Calibri" w:hAnsi="Calibri"/>
          <w:sz w:val="17"/>
          <w:szCs w:val="17"/>
        </w:rPr>
        <w:t xml:space="preserve">HM-PP-006B Reagents Consumption 2026 - design dose rates</w:t>
      </w:r>
    </w:p>
    <w:p>
      <w:pPr>
        <w:pStyle w:val="ListParagraph"/>
        <w:numPr>
          <w:ilvl w:val="0"/>
          <w:numId w:val="1"/>
        </w:numPr>
        <w:spacing w:after="60" w:line="245"/>
      </w:pPr>
      <w:r>
        <w:rPr>
          <w:rFonts w:ascii="Calibri" w:cs="Calibri" w:eastAsia="Calibri" w:hAnsi="Calibri"/>
          <w:sz w:val="17"/>
          <w:szCs w:val="17"/>
        </w:rPr>
        <w:t xml:space="preserve">4034-046-VE-019 Transmin quicklime slaking plant functional description, received 11 Aug 2026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SWI-PRO-MET-203-009  ·  Reagent Dosing Verification and Dosing Pump Calibration Check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