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before="0" w:line="250"/>
      </w:pPr>
      <w:r>
        <w:rPr>
          <w:rFonts w:ascii="Calibri" w:cs="Calibri" w:eastAsia="Calibri" w:hAnsi="Calibri"/>
          <w:b/>
          <w:bCs/>
          <w:color w:val="1F3864"/>
          <w:sz w:val="19"/>
          <w:szCs w:val="19"/>
        </w:rPr>
        <w:t xml:space="preserve">Mt. Morgan SITE WORK INSTRUCTION</w:t>
      </w:r>
    </w:p>
    <w:p>
      <w:pPr>
        <w:pBdr>
          <w:bottom w:val="single" w:sz="8" w:space="4" w:color="1F3864"/>
        </w:pBdr>
        <w:spacing w:after="80" w:before="0" w:line="300"/>
      </w:pPr>
      <w:r>
        <w:rPr>
          <w:rFonts w:ascii="Calibri" w:cs="Calibri" w:eastAsia="Calibri" w:hAnsi="Calibri"/>
          <w:b/>
          <w:bCs/>
          <w:color w:val="1F3864"/>
          <w:sz w:val="32"/>
          <w:szCs w:val="32"/>
        </w:rPr>
        <w:t xml:space="preserve">Carbon and Resin Loss Quantification Survey</w:t>
      </w:r>
    </w:p>
    <w:p>
      <w:pPr>
        <w:spacing w:after="140" w:before="0" w:line="245"/>
      </w:pPr>
      <w:r>
        <w:rPr>
          <w:rFonts w:ascii="Calibri" w:cs="Calibri" w:eastAsia="Calibri" w:hAnsi="Calibri"/>
          <w:color w:val="555555"/>
          <w:sz w:val="17"/>
          <w:szCs w:val="17"/>
        </w:rPr>
        <w:t xml:space="preserve">Standard Work Instruction  ·  Heritage Minerals  ·  Mt. Morgan Processing Plant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c>
          <w:tcPr>
            <w:tcW w:type="dxa" w:w="22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Document number</w:t>
            </w:r>
          </w:p>
        </w:tc>
        <w:tc>
          <w:tcPr>
            <w:tcW w:type="dxa" w:w="6826"/>
            <w:tcMar>
              <w:top w:type="dxa" w:w="55"/>
              <w:left w:type="dxa" w:w="85"/>
              <w:bottom w:type="dxa" w:w="55"/>
              <w:right w:type="dxa" w:w="85"/>
            </w:tcMar>
          </w:tcPr>
          <w:p>
            <w:pPr>
              <w:spacing w:after="0" w:line="235"/>
            </w:pPr>
            <w:r>
              <w:rPr>
                <w:rFonts w:ascii="Calibri" w:cs="Calibri" w:eastAsia="Calibri" w:hAnsi="Calibri"/>
                <w:sz w:val="17"/>
                <w:szCs w:val="17"/>
              </w:rPr>
              <w:t xml:space="preserve">SWI-PRO-MET-203-011</w:t>
            </w:r>
          </w:p>
        </w:tc>
      </w:tr>
      <w:tr>
        <w:tc>
          <w:tcPr>
            <w:tcW w:type="dxa" w:w="22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JSEA reference</w:t>
            </w:r>
          </w:p>
        </w:tc>
        <w:tc>
          <w:tcPr>
            <w:tcW w:type="dxa" w:w="6826"/>
            <w:tcMar>
              <w:top w:type="dxa" w:w="55"/>
              <w:left w:type="dxa" w:w="85"/>
              <w:bottom w:type="dxa" w:w="55"/>
              <w:right w:type="dxa" w:w="85"/>
            </w:tcMar>
          </w:tcPr>
          <w:p>
            <w:pPr>
              <w:spacing w:after="0" w:line="235"/>
            </w:pPr>
            <w:r>
              <w:rPr>
                <w:rFonts w:ascii="Calibri" w:cs="Calibri" w:eastAsia="Calibri" w:hAnsi="Calibri"/>
                <w:sz w:val="17"/>
                <w:szCs w:val="17"/>
              </w:rPr>
              <w:t xml:space="preserve">JSEA-PRO-MET-203-011</w:t>
            </w:r>
          </w:p>
        </w:tc>
      </w:tr>
      <w:tr>
        <w:tc>
          <w:tcPr>
            <w:tcW w:type="dxa" w:w="22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Area</w:t>
            </w:r>
          </w:p>
        </w:tc>
        <w:tc>
          <w:tcPr>
            <w:tcW w:type="dxa" w:w="6826"/>
            <w:tcMar>
              <w:top w:type="dxa" w:w="55"/>
              <w:left w:type="dxa" w:w="85"/>
              <w:bottom w:type="dxa" w:w="55"/>
              <w:right w:type="dxa" w:w="85"/>
            </w:tcMar>
          </w:tcPr>
          <w:p>
            <w:pPr>
              <w:spacing w:after="0" w:line="235"/>
            </w:pPr>
            <w:r>
              <w:rPr>
                <w:rFonts w:ascii="Calibri" w:cs="Calibri" w:eastAsia="Calibri" w:hAnsi="Calibri"/>
                <w:sz w:val="17"/>
                <w:szCs w:val="17"/>
              </w:rPr>
              <w:t xml:space="preserve">203  Plant Surveys</w:t>
            </w:r>
          </w:p>
        </w:tc>
      </w:tr>
      <w:tr>
        <w:tc>
          <w:tcPr>
            <w:tcW w:type="dxa" w:w="22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Parent procedure</w:t>
            </w:r>
          </w:p>
        </w:tc>
        <w:tc>
          <w:tcPr>
            <w:tcW w:type="dxa" w:w="6826"/>
            <w:tcMar>
              <w:top w:type="dxa" w:w="55"/>
              <w:left w:type="dxa" w:w="85"/>
              <w:bottom w:type="dxa" w:w="55"/>
              <w:right w:type="dxa" w:w="85"/>
            </w:tcMar>
          </w:tcPr>
          <w:p>
            <w:pPr>
              <w:spacing w:after="0" w:line="235"/>
            </w:pPr>
            <w:r>
              <w:rPr>
                <w:rFonts w:ascii="Calibri" w:cs="Calibri" w:eastAsia="Calibri" w:hAnsi="Calibri"/>
                <w:sz w:val="17"/>
                <w:szCs w:val="17"/>
              </w:rPr>
              <w:t xml:space="preserve">HM-PRC-VXX-PRO207  Plant Surveys and Circuit Performance Assessment</w:t>
            </w:r>
          </w:p>
        </w:tc>
      </w:tr>
      <w:tr>
        <w:tc>
          <w:tcPr>
            <w:tcW w:type="dxa" w:w="22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Classification</w:t>
            </w:r>
          </w:p>
        </w:tc>
        <w:tc>
          <w:tcPr>
            <w:tcW w:type="dxa" w:w="6826"/>
            <w:tcMar>
              <w:top w:type="dxa" w:w="55"/>
              <w:left w:type="dxa" w:w="85"/>
              <w:bottom w:type="dxa" w:w="55"/>
              <w:right w:type="dxa" w:w="85"/>
            </w:tcMar>
          </w:tcPr>
          <w:p>
            <w:pPr>
              <w:spacing w:after="0" w:line="235"/>
            </w:pPr>
            <w:r>
              <w:rPr>
                <w:rFonts w:ascii="Calibri" w:cs="Calibri" w:eastAsia="Calibri" w:hAnsi="Calibri"/>
                <w:sz w:val="17"/>
                <w:szCs w:val="17"/>
              </w:rPr>
              <w:t xml:space="preserve">Safety-critical</w:t>
            </w:r>
          </w:p>
        </w:tc>
      </w:tr>
      <w:tr>
        <w:tc>
          <w:tcPr>
            <w:tcW w:type="dxa" w:w="22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Revision</w:t>
            </w:r>
          </w:p>
        </w:tc>
        <w:tc>
          <w:tcPr>
            <w:tcW w:type="dxa" w:w="6826"/>
            <w:tcMar>
              <w:top w:type="dxa" w:w="55"/>
              <w:left w:type="dxa" w:w="85"/>
              <w:bottom w:type="dxa" w:w="55"/>
              <w:right w:type="dxa" w:w="85"/>
            </w:tcMar>
          </w:tcPr>
          <w:p>
            <w:pPr>
              <w:spacing w:after="0" w:line="235"/>
            </w:pPr>
            <w:r>
              <w:rPr>
                <w:rFonts w:ascii="Calibri" w:cs="Calibri" w:eastAsia="Calibri" w:hAnsi="Calibri"/>
                <w:sz w:val="17"/>
                <w:szCs w:val="17"/>
              </w:rPr>
              <w:t xml:space="preserve">Rev A</w:t>
            </w:r>
          </w:p>
        </w:tc>
      </w:tr>
      <w:tr>
        <w:tc>
          <w:tcPr>
            <w:tcW w:type="dxa" w:w="22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Date</w:t>
            </w:r>
          </w:p>
        </w:tc>
        <w:tc>
          <w:tcPr>
            <w:tcW w:type="dxa" w:w="6826"/>
            <w:tcMar>
              <w:top w:type="dxa" w:w="55"/>
              <w:left w:type="dxa" w:w="85"/>
              <w:bottom w:type="dxa" w:w="55"/>
              <w:right w:type="dxa" w:w="85"/>
            </w:tcMar>
          </w:tcPr>
          <w:p>
            <w:pPr>
              <w:spacing w:after="0" w:line="235"/>
            </w:pPr>
            <w:r>
              <w:rPr>
                <w:rFonts w:ascii="Calibri" w:cs="Calibri" w:eastAsia="Calibri" w:hAnsi="Calibri"/>
                <w:sz w:val="17"/>
                <w:szCs w:val="17"/>
              </w:rPr>
              <w:t xml:space="preserve">11 August 2026</w:t>
            </w:r>
          </w:p>
        </w:tc>
      </w:tr>
      <w:tr>
        <w:tc>
          <w:tcPr>
            <w:tcW w:type="dxa" w:w="22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Prepared by</w:t>
            </w:r>
          </w:p>
        </w:tc>
        <w:tc>
          <w:tcPr>
            <w:tcW w:type="dxa" w:w="6826"/>
            <w:tcMar>
              <w:top w:type="dxa" w:w="55"/>
              <w:left w:type="dxa" w:w="85"/>
              <w:bottom w:type="dxa" w:w="55"/>
              <w:right w:type="dxa" w:w="85"/>
            </w:tcMar>
          </w:tcPr>
          <w:p>
            <w:pPr>
              <w:spacing w:after="0" w:line="235"/>
            </w:pPr>
            <w:r>
              <w:rPr>
                <w:rFonts w:ascii="Calibri" w:cs="Calibri" w:eastAsia="Calibri" w:hAnsi="Calibri"/>
                <w:sz w:val="17"/>
                <w:szCs w:val="17"/>
              </w:rPr>
              <w:t xml:space="preserve">GGT (cost code 4034-033)</w:t>
            </w:r>
          </w:p>
        </w:tc>
      </w:tr>
      <w:tr>
        <w:tc>
          <w:tcPr>
            <w:tcW w:type="dxa" w:w="22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Reviewed by</w:t>
            </w:r>
          </w:p>
        </w:tc>
        <w:tc>
          <w:tcPr>
            <w:tcW w:type="dxa" w:w="6826"/>
            <w:tcMar>
              <w:top w:type="dxa" w:w="55"/>
              <w:left w:type="dxa" w:w="85"/>
              <w:bottom w:type="dxa" w:w="55"/>
              <w:right w:type="dxa" w:w="85"/>
            </w:tcMar>
          </w:tcPr>
          <w:p>
            <w:pPr>
              <w:spacing w:after="0" w:line="235"/>
            </w:pPr>
            <w:r>
              <w:rPr>
                <w:rFonts w:ascii="Calibri" w:cs="Calibri" w:eastAsia="Calibri" w:hAnsi="Calibri"/>
                <w:sz w:val="17"/>
                <w:szCs w:val="17"/>
              </w:rPr>
              <w:t xml:space="preserve">________________________</w:t>
            </w:r>
          </w:p>
        </w:tc>
      </w:tr>
      <w:tr>
        <w:tc>
          <w:tcPr>
            <w:tcW w:type="dxa" w:w="22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Approved by</w:t>
            </w:r>
          </w:p>
        </w:tc>
        <w:tc>
          <w:tcPr>
            <w:tcW w:type="dxa" w:w="6826"/>
            <w:tcMar>
              <w:top w:type="dxa" w:w="55"/>
              <w:left w:type="dxa" w:w="85"/>
              <w:bottom w:type="dxa" w:w="55"/>
              <w:right w:type="dxa" w:w="85"/>
            </w:tcMar>
          </w:tcPr>
          <w:p>
            <w:pPr>
              <w:spacing w:after="0" w:line="235"/>
            </w:pPr>
            <w:r>
              <w:rPr>
                <w:rFonts w:ascii="Calibri" w:cs="Calibri" w:eastAsia="Calibri" w:hAnsi="Calibri"/>
                <w:sz w:val="17"/>
                <w:szCs w:val="17"/>
              </w:rPr>
              <w:t xml:space="preserve">________________________</w:t>
            </w:r>
          </w:p>
        </w:tc>
      </w:tr>
    </w:tbl>
    <w:p>
      <w:pPr>
        <w:spacing w:after="100" w:before="0" w:line="245"/>
      </w:pPr>
    </w:p>
    <w:p>
      <w:pPr>
        <w:pStyle w:val="Heading1"/>
        <w:spacing w:after="120" w:before="260"/>
      </w:pPr>
      <w:r>
        <w:rPr>
          <w:rFonts w:ascii="Calibri" w:cs="Calibri" w:eastAsia="Calibri" w:hAnsi="Calibri"/>
          <w:b/>
          <w:bCs/>
          <w:color w:val="1F3864"/>
          <w:sz w:val="24"/>
          <w:szCs w:val="24"/>
        </w:rPr>
        <w:t xml:space="preserve">1  TASK AND SCOPE</w:t>
      </w:r>
    </w:p>
    <w:p>
      <w:pPr>
        <w:spacing w:after="60" w:before="0" w:line="245"/>
      </w:pPr>
      <w:r>
        <w:rPr>
          <w:rFonts w:ascii="Calibri" w:cs="Calibri" w:eastAsia="Calibri" w:hAnsi="Calibri"/>
          <w:sz w:val="17"/>
          <w:szCs w:val="17"/>
        </w:rPr>
        <w:t xml:space="preserve">Account for total carbon and resin loss across the whole circuit over a period, and locate where it is going.</w:t>
      </w:r>
    </w:p>
    <w:p>
      <w:pPr>
        <w:spacing w:after="60" w:before="0" w:line="245"/>
      </w:pPr>
      <w:r>
        <w:rPr>
          <w:rFonts w:ascii="Calibri" w:cs="Calibri" w:eastAsia="Calibri" w:hAnsi="Calibri"/>
          <w:sz w:val="17"/>
          <w:szCs w:val="17"/>
        </w:rPr>
        <w:t xml:space="preserve">The screen check finds losses at screens. This survey finds the rest - launders, spillage, transfers, attrition and the tailings line.</w:t>
      </w:r>
    </w:p>
    <w:p>
      <w:pPr>
        <w:spacing w:after="60" w:before="0" w:line="245"/>
      </w:pPr>
      <w:r>
        <w:rPr>
          <w:rFonts w:ascii="Calibri" w:cs="Calibri" w:eastAsia="Calibri" w:hAnsi="Calibri"/>
          <w:sz w:val="17"/>
          <w:szCs w:val="17"/>
        </w:rPr>
        <w:t xml:space="preserve">Points and equipment covered: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6426"/>
      </w:tblGrid>
      <w:tr>
        <w:trPr>
          <w:tblHeader/>
        </w:trPr>
        <w:tc>
          <w:tcPr>
            <w:tcW w:type="dxa" w:w="26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Tag / point</w:t>
            </w:r>
          </w:p>
        </w:tc>
        <w:tc>
          <w:tcPr>
            <w:tcW w:type="dxa" w:w="6426"/>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Description</w:t>
            </w:r>
          </w:p>
        </w:tc>
      </w:tr>
      <w:tr>
        <w:tc>
          <w:tcPr>
            <w:tcW w:type="dxa" w:w="2600"/>
            <w:tcMar>
              <w:top w:type="dxa" w:w="55"/>
              <w:left w:type="dxa" w:w="85"/>
              <w:bottom w:type="dxa" w:w="55"/>
              <w:right w:type="dxa" w:w="85"/>
            </w:tcMar>
          </w:tcPr>
          <w:p>
            <w:pPr>
              <w:spacing w:after="0" w:line="235"/>
            </w:pPr>
            <w:r>
              <w:rPr>
                <w:rFonts w:ascii="Calibri" w:cs="Calibri" w:eastAsia="Calibri" w:hAnsi="Calibri"/>
                <w:sz w:val="16"/>
                <w:szCs w:val="16"/>
              </w:rPr>
              <w:t xml:space="preserve">032 / 041 / 051</w:t>
            </w:r>
          </w:p>
        </w:tc>
        <w:tc>
          <w:tcPr>
            <w:tcW w:type="dxa" w:w="6426"/>
            <w:tcMar>
              <w:top w:type="dxa" w:w="55"/>
              <w:left w:type="dxa" w:w="85"/>
              <w:bottom w:type="dxa" w:w="55"/>
              <w:right w:type="dxa" w:w="85"/>
            </w:tcMar>
          </w:tcPr>
          <w:p>
            <w:pPr>
              <w:spacing w:after="0" w:line="235"/>
            </w:pPr>
            <w:r>
              <w:rPr>
                <w:rFonts w:ascii="Calibri" w:cs="Calibri" w:eastAsia="Calibri" w:hAnsi="Calibri"/>
                <w:sz w:val="16"/>
                <w:szCs w:val="16"/>
              </w:rPr>
              <w:t xml:space="preserve">Adsorption and CIL circuits</w:t>
            </w:r>
          </w:p>
        </w:tc>
      </w:tr>
      <w:tr>
        <w:tc>
          <w:tcPr>
            <w:tcW w:type="dxa" w:w="2600"/>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051</w:t>
            </w:r>
          </w:p>
        </w:tc>
        <w:tc>
          <w:tcPr>
            <w:tcW w:type="dxa" w:w="6426"/>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Tails thickener and tailings line</w:t>
            </w:r>
          </w:p>
        </w:tc>
      </w:tr>
      <w:tr>
        <w:tc>
          <w:tcPr>
            <w:tcW w:type="dxa" w:w="2600"/>
            <w:tcMar>
              <w:top w:type="dxa" w:w="55"/>
              <w:left w:type="dxa" w:w="85"/>
              <w:bottom w:type="dxa" w:w="55"/>
              <w:right w:type="dxa" w:w="85"/>
            </w:tcMar>
          </w:tcPr>
          <w:p>
            <w:pPr>
              <w:spacing w:after="0" w:line="235"/>
            </w:pPr>
            <w:r>
              <w:rPr>
                <w:rFonts w:ascii="Calibri" w:cs="Calibri" w:eastAsia="Calibri" w:hAnsi="Calibri"/>
                <w:sz w:val="16"/>
                <w:szCs w:val="16"/>
              </w:rPr>
              <w:t xml:space="preserve">Sumps and launders</w:t>
            </w:r>
          </w:p>
        </w:tc>
        <w:tc>
          <w:tcPr>
            <w:tcW w:type="dxa" w:w="6426"/>
            <w:tcMar>
              <w:top w:type="dxa" w:w="55"/>
              <w:left w:type="dxa" w:w="85"/>
              <w:bottom w:type="dxa" w:w="55"/>
              <w:right w:type="dxa" w:w="85"/>
            </w:tcMar>
          </w:tcPr>
          <w:p>
            <w:pPr>
              <w:spacing w:after="0" w:line="235"/>
            </w:pPr>
            <w:r>
              <w:rPr>
                <w:rFonts w:ascii="Calibri" w:cs="Calibri" w:eastAsia="Calibri" w:hAnsi="Calibri"/>
                <w:sz w:val="16"/>
                <w:szCs w:val="16"/>
              </w:rPr>
              <w:t xml:space="preserve">Spillage recovery points</w:t>
            </w:r>
          </w:p>
        </w:tc>
      </w:tr>
    </w:tbl>
    <w:p>
      <w:pPr>
        <w:spacing w:after="60" w:before="0" w:line="245"/>
      </w:pPr>
    </w:p>
    <w:p>
      <w:pPr>
        <w:spacing w:after="60" w:before="0" w:line="245"/>
      </w:pPr>
      <w:r>
        <w:rPr>
          <w:rFonts w:ascii="Calibri" w:cs="Calibri" w:eastAsia="Calibri" w:hAnsi="Calibri"/>
          <w:sz w:val="17"/>
          <w:szCs w:val="17"/>
        </w:rPr>
        <w:t xml:space="preserve">Frequency: Quarterly, and whenever the inventory reconciliation shows an unexplained loss.</w:t>
      </w:r>
    </w:p>
    <w:p>
      <w:pPr>
        <w:spacing w:after="60" w:before="0" w:line="245"/>
      </w:pPr>
      <w:r>
        <w:rPr>
          <w:rFonts w:ascii="Calibri" w:cs="Calibri" w:eastAsia="Calibri" w:hAnsi="Calibri"/>
          <w:sz w:val="17"/>
          <w:szCs w:val="17"/>
        </w:rPr>
        <w:t xml:space="preserve">This instruction sits under Standard Work Procedure HM-PRC-VXX-PRO207 - Plant Surveys and Circuit Performance Assessment. Read that procedure before carrying out this task for the first time.</w:t>
      </w:r>
    </w:p>
    <w:p>
      <w:pPr>
        <w:spacing w:after="60" w:before="0" w:line="245"/>
      </w:pPr>
      <w:r>
        <w:rPr>
          <w:rFonts w:ascii="Calibri" w:cs="Calibri" w:eastAsia="Calibri" w:hAnsi="Calibri"/>
          <w:sz w:val="17"/>
          <w:szCs w:val="17"/>
        </w:rPr>
        <w:t xml:space="preserve">Register line: SWI-PRO-MET-203-011 in HM-MMM-WHS-REG-XXX-R00-SWI-SWMS, tab SWI-MET. The matching hazard analysis is JSEA-PRO-MET-203-011.</w:t>
      </w:r>
    </w:p>
    <w:p>
      <w:pPr>
        <w:pStyle w:val="Heading1"/>
        <w:spacing w:after="120" w:before="260"/>
      </w:pPr>
      <w:r>
        <w:rPr>
          <w:rFonts w:ascii="Calibri" w:cs="Calibri" w:eastAsia="Calibri" w:hAnsi="Calibri"/>
          <w:b/>
          <w:bCs/>
          <w:color w:val="1F3864"/>
          <w:sz w:val="24"/>
          <w:szCs w:val="24"/>
        </w:rPr>
        <w:t xml:space="preserve">2  WHO MAY DO THIS</w:t>
      </w:r>
    </w:p>
    <w:p>
      <w:pPr>
        <w:pStyle w:val="ListParagraph"/>
        <w:numPr>
          <w:ilvl w:val="0"/>
          <w:numId w:val="1"/>
        </w:numPr>
        <w:spacing w:after="60" w:line="245"/>
      </w:pPr>
      <w:r>
        <w:rPr>
          <w:rFonts w:ascii="Calibri" w:cs="Calibri" w:eastAsia="Calibri" w:hAnsi="Calibri"/>
          <w:sz w:val="17"/>
          <w:szCs w:val="17"/>
        </w:rPr>
        <w:t xml:space="preserve">Trained and signed off against this instruction.</w:t>
      </w:r>
    </w:p>
    <w:p>
      <w:pPr>
        <w:pStyle w:val="ListParagraph"/>
        <w:numPr>
          <w:ilvl w:val="0"/>
          <w:numId w:val="1"/>
        </w:numPr>
        <w:spacing w:after="60" w:line="245"/>
      </w:pPr>
      <w:r>
        <w:rPr>
          <w:rFonts w:ascii="Calibri" w:cs="Calibri" w:eastAsia="Calibri" w:hAnsi="Calibri"/>
          <w:sz w:val="17"/>
          <w:szCs w:val="17"/>
        </w:rPr>
        <w:t xml:space="preserve">Signed on to JSEA JSEA-PRO-MET-203-011 at a communication session.</w:t>
      </w:r>
    </w:p>
    <w:p>
      <w:pPr>
        <w:pStyle w:val="ListParagraph"/>
        <w:numPr>
          <w:ilvl w:val="0"/>
          <w:numId w:val="1"/>
        </w:numPr>
        <w:spacing w:after="60" w:line="245"/>
      </w:pPr>
      <w:r>
        <w:rPr>
          <w:rFonts w:ascii="Calibri" w:cs="Calibri" w:eastAsia="Calibri" w:hAnsi="Calibri"/>
          <w:sz w:val="17"/>
          <w:szCs w:val="17"/>
        </w:rPr>
        <w:t xml:space="preserve">Site inducted, with current cyanide awareness and gas detection competency where the area requires it.</w:t>
      </w:r>
    </w:p>
    <w:p>
      <w:pPr>
        <w:pStyle w:val="ListParagraph"/>
        <w:numPr>
          <w:ilvl w:val="0"/>
          <w:numId w:val="1"/>
        </w:numPr>
        <w:spacing w:after="60" w:line="245"/>
      </w:pPr>
      <w:r>
        <w:rPr>
          <w:rFonts w:ascii="Calibri" w:cs="Calibri" w:eastAsia="Calibri" w:hAnsi="Calibri"/>
          <w:sz w:val="17"/>
          <w:szCs w:val="17"/>
        </w:rPr>
        <w:t xml:space="preserve">Authorised by the Shift Supervisor before the task starts.</w:t>
      </w:r>
    </w:p>
    <w:p>
      <w:pPr>
        <w:spacing w:after="60" w:before="0" w:line="245"/>
      </w:pPr>
      <w:r>
        <w:rPr>
          <w:rFonts w:ascii="Calibri" w:cs="Calibri" w:eastAsia="Calibri" w:hAnsi="Calibri"/>
          <w:b/>
          <w:bCs/>
          <w:sz w:val="17"/>
          <w:szCs w:val="17"/>
        </w:rPr>
        <w:t xml:space="preserve">This is a safety-critical task. It is not carried out alone in a cyanide area, and not without the Shift Supervisor knowing it is in progress.</w:t>
      </w:r>
    </w:p>
    <w:p>
      <w:pPr>
        <w:pStyle w:val="Heading1"/>
        <w:spacing w:after="120" w:before="260"/>
      </w:pPr>
      <w:r>
        <w:rPr>
          <w:rFonts w:ascii="Calibri" w:cs="Calibri" w:eastAsia="Calibri" w:hAnsi="Calibri"/>
          <w:b/>
          <w:bCs/>
          <w:color w:val="1F3864"/>
          <w:sz w:val="24"/>
          <w:szCs w:val="24"/>
        </w:rPr>
        <w:t xml:space="preserve">3  HAZARDS SPECIFIC TO THIS TASK</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900"/>
        <w:gridCol w:w="6126"/>
      </w:tblGrid>
      <w:tr>
        <w:trPr>
          <w:tblHeader/>
        </w:trPr>
        <w:tc>
          <w:tcPr>
            <w:tcW w:type="dxa" w:w="29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Hazard</w:t>
            </w:r>
          </w:p>
        </w:tc>
        <w:tc>
          <w:tcPr>
            <w:tcW w:type="dxa" w:w="6126"/>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Control</w:t>
            </w:r>
          </w:p>
        </w:tc>
      </w:tr>
      <w:tr>
        <w:tc>
          <w:tcPr>
            <w:tcW w:type="dxa" w:w="2900"/>
            <w:tcMar>
              <w:top w:type="dxa" w:w="55"/>
              <w:left w:type="dxa" w:w="85"/>
              <w:bottom w:type="dxa" w:w="55"/>
              <w:right w:type="dxa" w:w="85"/>
            </w:tcMar>
          </w:tcPr>
          <w:p>
            <w:pPr>
              <w:spacing w:after="0" w:line="235"/>
            </w:pPr>
            <w:r>
              <w:rPr>
                <w:rFonts w:ascii="Calibri" w:cs="Calibri" w:eastAsia="Calibri" w:hAnsi="Calibri"/>
                <w:sz w:val="16"/>
                <w:szCs w:val="16"/>
              </w:rPr>
              <w:t xml:space="preserve">Hydrogen cyanide gas released at the open sample point</w:t>
            </w:r>
          </w:p>
        </w:tc>
        <w:tc>
          <w:tcPr>
            <w:tcW w:type="dxa" w:w="6126"/>
            <w:tcMar>
              <w:top w:type="dxa" w:w="55"/>
              <w:left w:type="dxa" w:w="85"/>
              <w:bottom w:type="dxa" w:w="55"/>
              <w:right w:type="dxa" w:w="85"/>
            </w:tcMar>
          </w:tcPr>
          <w:p>
            <w:pPr>
              <w:spacing w:after="0" w:line="235"/>
            </w:pPr>
            <w:r>
              <w:rPr>
                <w:rFonts w:ascii="Calibri" w:cs="Calibri" w:eastAsia="Calibri" w:hAnsi="Calibri"/>
                <w:sz w:val="16"/>
                <w:szCs w:val="16"/>
              </w:rPr>
              <w:t xml:space="preserve">Personal HCN monitor worn and switched on, in calibration date. Fixed detection confirmed healthy - alarm 5 ppm, high-high 10 ppm. Sample point approached from upwind. pH of the stream confirmed above 10.5 before opening. Second person in sight and clear. Cyanide antidote kit on site and a trained first aider on shift. Withdraw upwind and report on any reading above the site action level.</w:t>
            </w:r>
          </w:p>
        </w:tc>
      </w:tr>
      <w:tr>
        <w:tc>
          <w:tcPr>
            <w:tcW w:type="dxa" w:w="2900"/>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Splash of cyanide-bearing slurry or solution to skin or eyes</w:t>
            </w:r>
          </w:p>
        </w:tc>
        <w:tc>
          <w:tcPr>
            <w:tcW w:type="dxa" w:w="6126"/>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Sample valve opened slowly with the container positioned first and the body out of the spray path. Face shield, chemical splash goggles, chemical-resistant gloves and apron. Never open a sample valve whose discharge cannot be seen. Safety shower and eyewash proven flowing before the round starts.</w:t>
            </w:r>
          </w:p>
        </w:tc>
      </w:tr>
      <w:tr>
        <w:tc>
          <w:tcPr>
            <w:tcW w:type="dxa" w:w="2900"/>
            <w:tcMar>
              <w:top w:type="dxa" w:w="55"/>
              <w:left w:type="dxa" w:w="85"/>
              <w:bottom w:type="dxa" w:w="55"/>
              <w:right w:type="dxa" w:w="85"/>
            </w:tcMar>
          </w:tcPr>
          <w:p>
            <w:pPr>
              <w:spacing w:after="0" w:line="235"/>
            </w:pPr>
            <w:r>
              <w:rPr>
                <w:rFonts w:ascii="Calibri" w:cs="Calibri" w:eastAsia="Calibri" w:hAnsi="Calibri"/>
                <w:sz w:val="16"/>
                <w:szCs w:val="16"/>
              </w:rPr>
              <w:t xml:space="preserve">Fall from a tank top, launder platform, column platform or access ladder</w:t>
            </w:r>
          </w:p>
        </w:tc>
        <w:tc>
          <w:tcPr>
            <w:tcW w:type="dxa" w:w="6126"/>
            <w:tcMar>
              <w:top w:type="dxa" w:w="55"/>
              <w:left w:type="dxa" w:w="85"/>
              <w:bottom w:type="dxa" w:w="55"/>
              <w:right w:type="dxa" w:w="85"/>
            </w:tcMar>
          </w:tcPr>
          <w:p>
            <w:pPr>
              <w:spacing w:after="0" w:line="235"/>
            </w:pPr>
            <w:r>
              <w:rPr>
                <w:rFonts w:ascii="Calibri" w:cs="Calibri" w:eastAsia="Calibri" w:hAnsi="Calibri"/>
                <w:sz w:val="16"/>
                <w:szCs w:val="16"/>
              </w:rPr>
              <w:t xml:space="preserve">Fixed platforms, stairways and handrails used in preference to any other access. Harness and fall arrest where no fixed platform exists. Three points of contact on ladders. No sampling at height alone. Sample containers carried in a bag or hoisted, not in the hand on a ladder.</w:t>
            </w:r>
          </w:p>
        </w:tc>
      </w:tr>
      <w:tr>
        <w:tc>
          <w:tcPr>
            <w:tcW w:type="dxa" w:w="2900"/>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Contact with an agitator, sample cutter, pump or screen that starts without warning</w:t>
            </w:r>
          </w:p>
        </w:tc>
        <w:tc>
          <w:tcPr>
            <w:tcW w:type="dxa" w:w="6126"/>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Much of the plant is automated and equipment can start or stop without warning. Guards confirmed in place before approaching. Control room notified before the round starts and again on completion. Isolation and lock-out before any guard or cutter housing is opened.</w:t>
            </w:r>
          </w:p>
        </w:tc>
      </w:tr>
      <w:tr>
        <w:tc>
          <w:tcPr>
            <w:tcW w:type="dxa" w:w="2900"/>
            <w:tcMar>
              <w:top w:type="dxa" w:w="55"/>
              <w:left w:type="dxa" w:w="85"/>
              <w:bottom w:type="dxa" w:w="55"/>
              <w:right w:type="dxa" w:w="85"/>
            </w:tcMar>
          </w:tcPr>
          <w:p>
            <w:pPr>
              <w:spacing w:after="0" w:line="235"/>
            </w:pPr>
            <w:r>
              <w:rPr>
                <w:rFonts w:ascii="Calibri" w:cs="Calibri" w:eastAsia="Calibri" w:hAnsi="Calibri"/>
                <w:sz w:val="16"/>
                <w:szCs w:val="16"/>
              </w:rPr>
              <w:t xml:space="preserve">Slip, trip or fall on wet or slurry-covered walkways around sample points</w:t>
            </w:r>
          </w:p>
        </w:tc>
        <w:tc>
          <w:tcPr>
            <w:tcW w:type="dxa" w:w="6126"/>
            <w:tcMar>
              <w:top w:type="dxa" w:w="55"/>
              <w:left w:type="dxa" w:w="85"/>
              <w:bottom w:type="dxa" w:w="55"/>
              <w:right w:type="dxa" w:w="85"/>
            </w:tcMar>
          </w:tcPr>
          <w:p>
            <w:pPr>
              <w:spacing w:after="0" w:line="235"/>
            </w:pPr>
            <w:r>
              <w:rPr>
                <w:rFonts w:ascii="Calibri" w:cs="Calibri" w:eastAsia="Calibri" w:hAnsi="Calibri"/>
                <w:sz w:val="16"/>
                <w:szCs w:val="16"/>
              </w:rPr>
              <w:t xml:space="preserve">Spillage cleaned up immediately and the point left clean. Walkways kept clear of hoses, buckets and containers. Safety boots with sound tread. Report any damaged or missing grating before use.</w:t>
            </w:r>
          </w:p>
        </w:tc>
      </w:tr>
      <w:tr>
        <w:tc>
          <w:tcPr>
            <w:tcW w:type="dxa" w:w="2900"/>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Manual handling injury from carrying sample buckets, containers and composite drums</w:t>
            </w:r>
          </w:p>
        </w:tc>
        <w:tc>
          <w:tcPr>
            <w:tcW w:type="dxa" w:w="6126"/>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Sample volume kept to the schedule - no over-filling. Two-person lift or a trolley for composite containers above the site manual handling limit. Route cleared before lifting.</w:t>
            </w:r>
          </w:p>
        </w:tc>
      </w:tr>
      <w:tr>
        <w:tc>
          <w:tcPr>
            <w:tcW w:type="dxa" w:w="2900"/>
            <w:tcMar>
              <w:top w:type="dxa" w:w="55"/>
              <w:left w:type="dxa" w:w="85"/>
              <w:bottom w:type="dxa" w:w="55"/>
              <w:right w:type="dxa" w:w="85"/>
            </w:tcMar>
          </w:tcPr>
          <w:p>
            <w:pPr>
              <w:spacing w:after="0" w:line="235"/>
            </w:pPr>
            <w:r>
              <w:rPr>
                <w:rFonts w:ascii="Calibri" w:cs="Calibri" w:eastAsia="Calibri" w:hAnsi="Calibri"/>
                <w:sz w:val="16"/>
                <w:szCs w:val="16"/>
              </w:rPr>
              <w:t xml:space="preserve">Non-representative sample leading to a wrong process decision</w:t>
            </w:r>
          </w:p>
        </w:tc>
        <w:tc>
          <w:tcPr>
            <w:tcW w:type="dxa" w:w="6126"/>
            <w:tcMar>
              <w:top w:type="dxa" w:w="55"/>
              <w:left w:type="dxa" w:w="85"/>
              <w:bottom w:type="dxa" w:w="55"/>
              <w:right w:type="dxa" w:w="85"/>
            </w:tcMar>
          </w:tcPr>
          <w:p>
            <w:pPr>
              <w:spacing w:after="0" w:line="235"/>
            </w:pPr>
            <w:r>
              <w:rPr>
                <w:rFonts w:ascii="Calibri" w:cs="Calibri" w:eastAsia="Calibri" w:hAnsi="Calibri"/>
                <w:sz w:val="16"/>
                <w:szCs w:val="16"/>
              </w:rPr>
              <w:t xml:space="preserve">Line flushed for the stated time before collecting. Sample taken at the same point, in the same way and at the same frequency every time. Container labelled BEFORE the sample is taken, with point, date, time and shift. Steady-state confirmed for 15 to 20 minutes before sampling. A sample taken off-condition is marked as such or discarded.</w:t>
            </w:r>
          </w:p>
        </w:tc>
      </w:tr>
      <w:tr>
        <w:tc>
          <w:tcPr>
            <w:tcW w:type="dxa" w:w="2900"/>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Cross-contamination from a container or cutter not cleaned between points</w:t>
            </w:r>
          </w:p>
        </w:tc>
        <w:tc>
          <w:tcPr>
            <w:tcW w:type="dxa" w:w="6126"/>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Bucket, container, cutter and sieve rinsed with process water and then with the stream being sampled, and the rinse discarded, before every sample. Dedicated containers for high-grade streams. Labels checked against the schedule before handover.</w:t>
            </w:r>
          </w:p>
        </w:tc>
      </w:tr>
    </w:tbl>
    <w:p>
      <w:pPr>
        <w:spacing w:after="60" w:before="0" w:line="245"/>
      </w:pPr>
    </w:p>
    <w:p>
      <w:pPr>
        <w:spacing w:after="60" w:before="0" w:line="245"/>
      </w:pPr>
      <w:r>
        <w:rPr>
          <w:rFonts w:ascii="Calibri" w:cs="Calibri" w:eastAsia="Calibri" w:hAnsi="Calibri"/>
          <w:i/>
          <w:iCs/>
          <w:sz w:val="17"/>
          <w:szCs w:val="17"/>
        </w:rPr>
        <w:t xml:space="preserve">The full step-by-step hazard analysis, with the risk ranking, is in JSEA JSEA-PRO-MET-203-011 Section 4.</w:t>
      </w:r>
    </w:p>
    <w:p>
      <w:pPr>
        <w:pStyle w:val="Heading1"/>
        <w:spacing w:after="120" w:before="260"/>
      </w:pPr>
      <w:r>
        <w:rPr>
          <w:rFonts w:ascii="Calibri" w:cs="Calibri" w:eastAsia="Calibri" w:hAnsi="Calibri"/>
          <w:b/>
          <w:bCs/>
          <w:color w:val="1F3864"/>
          <w:sz w:val="24"/>
          <w:szCs w:val="24"/>
        </w:rPr>
        <w:t xml:space="preserve">4  PPE</w:t>
      </w:r>
    </w:p>
    <w:p>
      <w:pPr>
        <w:pStyle w:val="ListParagraph"/>
        <w:numPr>
          <w:ilvl w:val="0"/>
          <w:numId w:val="1"/>
        </w:numPr>
        <w:spacing w:after="60" w:line="245"/>
      </w:pPr>
      <w:r>
        <w:rPr>
          <w:rFonts w:ascii="Calibri" w:cs="Calibri" w:eastAsia="Calibri" w:hAnsi="Calibri"/>
          <w:sz w:val="17"/>
          <w:szCs w:val="17"/>
        </w:rPr>
        <w:t xml:space="preserve">Hard hat</w:t>
      </w:r>
    </w:p>
    <w:p>
      <w:pPr>
        <w:pStyle w:val="ListParagraph"/>
        <w:numPr>
          <w:ilvl w:val="0"/>
          <w:numId w:val="1"/>
        </w:numPr>
        <w:spacing w:after="60" w:line="245"/>
      </w:pPr>
      <w:r>
        <w:rPr>
          <w:rFonts w:ascii="Calibri" w:cs="Calibri" w:eastAsia="Calibri" w:hAnsi="Calibri"/>
          <w:sz w:val="17"/>
          <w:szCs w:val="17"/>
        </w:rPr>
        <w:t xml:space="preserve">Safety glasses</w:t>
      </w:r>
    </w:p>
    <w:p>
      <w:pPr>
        <w:pStyle w:val="ListParagraph"/>
        <w:numPr>
          <w:ilvl w:val="0"/>
          <w:numId w:val="1"/>
        </w:numPr>
        <w:spacing w:after="60" w:line="245"/>
      </w:pPr>
      <w:r>
        <w:rPr>
          <w:rFonts w:ascii="Calibri" w:cs="Calibri" w:eastAsia="Calibri" w:hAnsi="Calibri"/>
          <w:sz w:val="17"/>
          <w:szCs w:val="17"/>
        </w:rPr>
        <w:t xml:space="preserve">High-visibility long-sleeved shirt and long trousers</w:t>
      </w:r>
    </w:p>
    <w:p>
      <w:pPr>
        <w:pStyle w:val="ListParagraph"/>
        <w:numPr>
          <w:ilvl w:val="0"/>
          <w:numId w:val="1"/>
        </w:numPr>
        <w:spacing w:after="60" w:line="245"/>
      </w:pPr>
      <w:r>
        <w:rPr>
          <w:rFonts w:ascii="Calibri" w:cs="Calibri" w:eastAsia="Calibri" w:hAnsi="Calibri"/>
          <w:sz w:val="17"/>
          <w:szCs w:val="17"/>
        </w:rPr>
        <w:t xml:space="preserve">Safety boots</w:t>
      </w:r>
    </w:p>
    <w:p>
      <w:pPr>
        <w:pStyle w:val="ListParagraph"/>
        <w:numPr>
          <w:ilvl w:val="0"/>
          <w:numId w:val="1"/>
        </w:numPr>
        <w:spacing w:after="60" w:line="245"/>
      </w:pPr>
      <w:r>
        <w:rPr>
          <w:rFonts w:ascii="Calibri" w:cs="Calibri" w:eastAsia="Calibri" w:hAnsi="Calibri"/>
          <w:sz w:val="17"/>
          <w:szCs w:val="17"/>
        </w:rPr>
        <w:t xml:space="preserve">Gloves appropriate to the task</w:t>
      </w:r>
    </w:p>
    <w:p>
      <w:pPr>
        <w:pStyle w:val="ListParagraph"/>
        <w:numPr>
          <w:ilvl w:val="0"/>
          <w:numId w:val="1"/>
        </w:numPr>
        <w:spacing w:after="60" w:line="245"/>
      </w:pPr>
      <w:r>
        <w:rPr>
          <w:rFonts w:ascii="Calibri" w:cs="Calibri" w:eastAsia="Calibri" w:hAnsi="Calibri"/>
          <w:sz w:val="17"/>
          <w:szCs w:val="17"/>
        </w:rPr>
        <w:t xml:space="preserve">Personal HCN gas monitor, calibrated and in test date</w:t>
      </w:r>
    </w:p>
    <w:p>
      <w:pPr>
        <w:pStyle w:val="ListParagraph"/>
        <w:numPr>
          <w:ilvl w:val="0"/>
          <w:numId w:val="1"/>
        </w:numPr>
        <w:spacing w:after="60" w:line="245"/>
      </w:pPr>
      <w:r>
        <w:rPr>
          <w:rFonts w:ascii="Calibri" w:cs="Calibri" w:eastAsia="Calibri" w:hAnsi="Calibri"/>
          <w:sz w:val="17"/>
          <w:szCs w:val="17"/>
        </w:rPr>
        <w:t xml:space="preserve">Chemical splash goggles and face shield</w:t>
      </w:r>
    </w:p>
    <w:p>
      <w:pPr>
        <w:pStyle w:val="ListParagraph"/>
        <w:numPr>
          <w:ilvl w:val="0"/>
          <w:numId w:val="1"/>
        </w:numPr>
        <w:spacing w:after="60" w:line="245"/>
      </w:pPr>
      <w:r>
        <w:rPr>
          <w:rFonts w:ascii="Calibri" w:cs="Calibri" w:eastAsia="Calibri" w:hAnsi="Calibri"/>
          <w:sz w:val="17"/>
          <w:szCs w:val="17"/>
        </w:rPr>
        <w:t xml:space="preserve">Nitrile rubber gloves</w:t>
      </w:r>
    </w:p>
    <w:p>
      <w:pPr>
        <w:pStyle w:val="ListParagraph"/>
        <w:numPr>
          <w:ilvl w:val="0"/>
          <w:numId w:val="1"/>
        </w:numPr>
        <w:spacing w:after="60" w:line="245"/>
      </w:pPr>
      <w:r>
        <w:rPr>
          <w:rFonts w:ascii="Calibri" w:cs="Calibri" w:eastAsia="Calibri" w:hAnsi="Calibri"/>
          <w:sz w:val="17"/>
          <w:szCs w:val="17"/>
        </w:rPr>
        <w:t xml:space="preserve">Nitrile PVC boots</w:t>
      </w:r>
    </w:p>
    <w:p>
      <w:pPr>
        <w:pStyle w:val="ListParagraph"/>
        <w:numPr>
          <w:ilvl w:val="0"/>
          <w:numId w:val="1"/>
        </w:numPr>
        <w:spacing w:after="60" w:line="245"/>
      </w:pPr>
      <w:r>
        <w:rPr>
          <w:rFonts w:ascii="Calibri" w:cs="Calibri" w:eastAsia="Calibri" w:hAnsi="Calibri"/>
          <w:sz w:val="17"/>
          <w:szCs w:val="17"/>
        </w:rPr>
        <w:t xml:space="preserve">Chemical resistant suit</w:t>
      </w:r>
    </w:p>
    <w:p>
      <w:pPr>
        <w:pStyle w:val="ListParagraph"/>
        <w:numPr>
          <w:ilvl w:val="0"/>
          <w:numId w:val="1"/>
        </w:numPr>
        <w:spacing w:after="60" w:line="245"/>
      </w:pPr>
      <w:r>
        <w:rPr>
          <w:rFonts w:ascii="Calibri" w:cs="Calibri" w:eastAsia="Calibri" w:hAnsi="Calibri"/>
          <w:sz w:val="17"/>
          <w:szCs w:val="17"/>
        </w:rPr>
        <w:t xml:space="preserve">Full or half gas mask with A2B2E2K2P3 cartridge, carried and available for immediate use</w:t>
      </w:r>
    </w:p>
    <w:p>
      <w:pPr>
        <w:pStyle w:val="ListParagraph"/>
        <w:numPr>
          <w:ilvl w:val="0"/>
          <w:numId w:val="1"/>
        </w:numPr>
        <w:spacing w:after="60" w:line="245"/>
      </w:pPr>
      <w:r>
        <w:rPr>
          <w:rFonts w:ascii="Calibri" w:cs="Calibri" w:eastAsia="Calibri" w:hAnsi="Calibri"/>
          <w:sz w:val="17"/>
          <w:szCs w:val="17"/>
        </w:rPr>
        <w:t xml:space="preserve">Harness and fall arrest where no fixed platform exists</w:t>
      </w:r>
    </w:p>
    <w:p>
      <w:pPr>
        <w:pStyle w:val="Heading1"/>
        <w:spacing w:after="120" w:before="260"/>
      </w:pPr>
      <w:r>
        <w:rPr>
          <w:rFonts w:ascii="Calibri" w:cs="Calibri" w:eastAsia="Calibri" w:hAnsi="Calibri"/>
          <w:b/>
          <w:bCs/>
          <w:color w:val="1F3864"/>
          <w:sz w:val="24"/>
          <w:szCs w:val="24"/>
        </w:rPr>
        <w:t xml:space="preserve">5  BEFORE YOU START</w:t>
      </w:r>
    </w:p>
    <w:p>
      <w:pPr>
        <w:spacing w:after="60" w:before="0" w:line="245"/>
      </w:pPr>
      <w:r>
        <w:rPr>
          <w:rFonts w:ascii="Calibri" w:cs="Calibri" w:eastAsia="Calibri" w:hAnsi="Calibri"/>
          <w:sz w:val="17"/>
          <w:szCs w:val="17"/>
        </w:rPr>
        <w:t xml:space="preserve">Every item below must be true. If one is not, stop and report it.</w:t>
      </w:r>
    </w:p>
    <w:p>
      <w:pPr>
        <w:pStyle w:val="ListParagraph"/>
        <w:numPr>
          <w:ilvl w:val="0"/>
          <w:numId w:val="1"/>
        </w:numPr>
        <w:spacing w:after="60" w:line="245"/>
      </w:pPr>
      <w:r>
        <w:rPr>
          <w:rFonts w:ascii="Calibri" w:cs="Calibri" w:eastAsia="Calibri" w:hAnsi="Calibri"/>
          <w:sz w:val="17"/>
          <w:szCs w:val="17"/>
        </w:rPr>
        <w:t xml:space="preserve">Notify the control room that the task is starting, and where you will be.</w:t>
      </w:r>
    </w:p>
    <w:p>
      <w:pPr>
        <w:pStyle w:val="ListParagraph"/>
        <w:numPr>
          <w:ilvl w:val="0"/>
          <w:numId w:val="1"/>
        </w:numPr>
        <w:spacing w:after="60" w:line="245"/>
      </w:pPr>
      <w:r>
        <w:rPr>
          <w:rFonts w:ascii="Calibri" w:cs="Calibri" w:eastAsia="Calibri" w:hAnsi="Calibri"/>
          <w:sz w:val="17"/>
          <w:szCs w:val="17"/>
        </w:rPr>
        <w:t xml:space="preserve">Confirm the personal gas monitor is on, in calibration date and reading clean.</w:t>
      </w:r>
    </w:p>
    <w:p>
      <w:pPr>
        <w:pStyle w:val="ListParagraph"/>
        <w:numPr>
          <w:ilvl w:val="0"/>
          <w:numId w:val="1"/>
        </w:numPr>
        <w:spacing w:after="60" w:line="245"/>
      </w:pPr>
      <w:r>
        <w:rPr>
          <w:rFonts w:ascii="Calibri" w:cs="Calibri" w:eastAsia="Calibri" w:hAnsi="Calibri"/>
          <w:sz w:val="17"/>
          <w:szCs w:val="17"/>
        </w:rPr>
        <w:t xml:space="preserve">Confirm the safety shower and eyewash nearest the work are within reach and proven flowing.</w:t>
      </w:r>
    </w:p>
    <w:p>
      <w:pPr>
        <w:pStyle w:val="ListParagraph"/>
        <w:numPr>
          <w:ilvl w:val="0"/>
          <w:numId w:val="1"/>
        </w:numPr>
        <w:spacing w:after="60" w:line="245"/>
      </w:pPr>
      <w:r>
        <w:rPr>
          <w:rFonts w:ascii="Calibri" w:cs="Calibri" w:eastAsia="Calibri" w:hAnsi="Calibri"/>
          <w:sz w:val="17"/>
          <w:szCs w:val="17"/>
        </w:rPr>
        <w:t xml:space="preserve">Confirm the area is fit - no restricted access, no gas alarm, no spill response in progress.</w:t>
      </w:r>
    </w:p>
    <w:p>
      <w:pPr>
        <w:spacing w:after="60" w:before="0" w:line="245"/>
      </w:pPr>
      <w:r>
        <w:rPr>
          <w:rFonts w:ascii="Calibri" w:cs="Calibri" w:eastAsia="Calibri" w:hAnsi="Calibri"/>
          <w:sz w:val="17"/>
          <w:szCs w:val="17"/>
        </w:rPr>
        <w:t xml:space="preserve">Equipment required:</w:t>
      </w:r>
    </w:p>
    <w:p>
      <w:pPr>
        <w:pStyle w:val="ListParagraph"/>
        <w:numPr>
          <w:ilvl w:val="0"/>
          <w:numId w:val="1"/>
        </w:numPr>
        <w:spacing w:after="60" w:line="245"/>
      </w:pPr>
      <w:r>
        <w:rPr>
          <w:rFonts w:ascii="Calibri" w:cs="Calibri" w:eastAsia="Calibri" w:hAnsi="Calibri"/>
          <w:sz w:val="17"/>
          <w:szCs w:val="17"/>
        </w:rPr>
        <w:t xml:space="preserve">Sample containers</w:t>
      </w:r>
    </w:p>
    <w:p>
      <w:pPr>
        <w:pStyle w:val="ListParagraph"/>
        <w:numPr>
          <w:ilvl w:val="0"/>
          <w:numId w:val="1"/>
        </w:numPr>
        <w:spacing w:after="60" w:line="245"/>
      </w:pPr>
      <w:r>
        <w:rPr>
          <w:rFonts w:ascii="Calibri" w:cs="Calibri" w:eastAsia="Calibri" w:hAnsi="Calibri"/>
          <w:sz w:val="17"/>
          <w:szCs w:val="17"/>
        </w:rPr>
        <w:t xml:space="preserve">Sieves 1 mm and 0.9 mm</w:t>
      </w:r>
    </w:p>
    <w:p>
      <w:pPr>
        <w:pStyle w:val="ListParagraph"/>
        <w:numPr>
          <w:ilvl w:val="0"/>
          <w:numId w:val="1"/>
        </w:numPr>
        <w:spacing w:after="60" w:line="245"/>
      </w:pPr>
      <w:r>
        <w:rPr>
          <w:rFonts w:ascii="Calibri" w:cs="Calibri" w:eastAsia="Calibri" w:hAnsi="Calibri"/>
          <w:sz w:val="17"/>
          <w:szCs w:val="17"/>
        </w:rPr>
        <w:t xml:space="preserve">Drying tray and balance</w:t>
      </w:r>
    </w:p>
    <w:p>
      <w:pPr>
        <w:pStyle w:val="ListParagraph"/>
        <w:numPr>
          <w:ilvl w:val="0"/>
          <w:numId w:val="1"/>
        </w:numPr>
        <w:spacing w:after="60" w:line="245"/>
      </w:pPr>
      <w:r>
        <w:rPr>
          <w:rFonts w:ascii="Calibri" w:cs="Calibri" w:eastAsia="Calibri" w:hAnsi="Calibri"/>
          <w:sz w:val="17"/>
          <w:szCs w:val="17"/>
        </w:rPr>
        <w:t xml:space="preserve">Field data sheets</w:t>
      </w:r>
    </w:p>
    <w:p>
      <w:pPr>
        <w:pStyle w:val="Heading1"/>
        <w:spacing w:after="120" w:before="260"/>
      </w:pPr>
      <w:r>
        <w:rPr>
          <w:rFonts w:ascii="Calibri" w:cs="Calibri" w:eastAsia="Calibri" w:hAnsi="Calibri"/>
          <w:b/>
          <w:bCs/>
          <w:color w:val="1F3864"/>
          <w:sz w:val="24"/>
          <w:szCs w:val="24"/>
        </w:rPr>
        <w:t xml:space="preserve">6  STEPS</w:t>
      </w:r>
    </w:p>
    <w:p>
      <w:pPr>
        <w:ind w:left="280"/>
        <w:spacing w:after="50" w:before="0" w:line="245"/>
      </w:pPr>
      <w:r>
        <w:rPr>
          <w:rFonts w:ascii="Calibri" w:cs="Calibri" w:eastAsia="Calibri" w:hAnsi="Calibri"/>
          <w:b/>
          <w:bCs/>
          <w:sz w:val="17"/>
          <w:szCs w:val="17"/>
        </w:rPr>
        <w:t xml:space="preserve">1.</w:t>
      </w:r>
      <w:r>
        <w:rPr>
          <w:rFonts w:ascii="Calibri" w:cs="Calibri" w:eastAsia="Calibri" w:hAnsi="Calibri"/>
          <w:sz w:val="17"/>
          <w:szCs w:val="17"/>
        </w:rPr>
        <w:t xml:space="preserve">  Take the inventory reconciliation for the period as the starting point - it says how much is missing.</w:t>
      </w:r>
    </w:p>
    <w:p>
      <w:pPr>
        <w:ind w:left="280"/>
        <w:spacing w:after="50" w:before="0" w:line="245"/>
      </w:pPr>
      <w:r>
        <w:rPr>
          <w:rFonts w:ascii="Calibri" w:cs="Calibri" w:eastAsia="Calibri" w:hAnsi="Calibri"/>
          <w:b/>
          <w:bCs/>
          <w:sz w:val="17"/>
          <w:szCs w:val="17"/>
        </w:rPr>
        <w:t xml:space="preserve">2.</w:t>
      </w:r>
      <w:r>
        <w:rPr>
          <w:rFonts w:ascii="Calibri" w:cs="Calibri" w:eastAsia="Calibri" w:hAnsi="Calibri"/>
          <w:sz w:val="17"/>
          <w:szCs w:val="17"/>
        </w:rPr>
        <w:t xml:space="preserve">  Sample every stream leaving the circuit that could carry carbon or resin: screen undersizes, thickener overflow and underflow, the tailings line, and any launder or sump overflow.</w:t>
      </w:r>
    </w:p>
    <w:p>
      <w:pPr>
        <w:ind w:left="280"/>
        <w:spacing w:after="50" w:before="0" w:line="245"/>
      </w:pPr>
      <w:r>
        <w:rPr>
          <w:rFonts w:ascii="Calibri" w:cs="Calibri" w:eastAsia="Calibri" w:hAnsi="Calibri"/>
          <w:b/>
          <w:bCs/>
          <w:sz w:val="17"/>
          <w:szCs w:val="17"/>
        </w:rPr>
        <w:t xml:space="preserve">3.</w:t>
      </w:r>
      <w:r>
        <w:rPr>
          <w:rFonts w:ascii="Calibri" w:cs="Calibri" w:eastAsia="Calibri" w:hAnsi="Calibri"/>
          <w:sz w:val="17"/>
          <w:szCs w:val="17"/>
        </w:rPr>
        <w:t xml:space="preserve">  Recover, dry and weigh carbon and resin from each stream.</w:t>
      </w:r>
    </w:p>
    <w:p>
      <w:pPr>
        <w:ind w:left="280"/>
        <w:spacing w:after="50" w:before="0" w:line="245"/>
      </w:pPr>
      <w:r>
        <w:rPr>
          <w:rFonts w:ascii="Calibri" w:cs="Calibri" w:eastAsia="Calibri" w:hAnsi="Calibri"/>
          <w:b/>
          <w:bCs/>
          <w:sz w:val="17"/>
          <w:szCs w:val="17"/>
        </w:rPr>
        <w:t xml:space="preserve">4.</w:t>
      </w:r>
      <w:r>
        <w:rPr>
          <w:rFonts w:ascii="Calibri" w:cs="Calibri" w:eastAsia="Calibri" w:hAnsi="Calibri"/>
          <w:sz w:val="17"/>
          <w:szCs w:val="17"/>
        </w:rPr>
        <w:t xml:space="preserve">  Estimate attrition from the bead and particle size distribution trend rather than from a single measurement.</w:t>
      </w:r>
    </w:p>
    <w:p>
      <w:pPr>
        <w:ind w:left="280"/>
        <w:spacing w:after="50" w:before="0" w:line="245"/>
      </w:pPr>
      <w:r>
        <w:rPr>
          <w:rFonts w:ascii="Calibri" w:cs="Calibri" w:eastAsia="Calibri" w:hAnsi="Calibri"/>
          <w:b/>
          <w:bCs/>
          <w:sz w:val="17"/>
          <w:szCs w:val="17"/>
        </w:rPr>
        <w:t xml:space="preserve">5.</w:t>
      </w:r>
      <w:r>
        <w:rPr>
          <w:rFonts w:ascii="Calibri" w:cs="Calibri" w:eastAsia="Calibri" w:hAnsi="Calibri"/>
          <w:sz w:val="17"/>
          <w:szCs w:val="17"/>
        </w:rPr>
        <w:t xml:space="preserve">  Add the located losses and compare against the reconciliation gap.</w:t>
      </w:r>
    </w:p>
    <w:p>
      <w:pPr>
        <w:ind w:left="280"/>
        <w:spacing w:after="50" w:before="0" w:line="245"/>
      </w:pPr>
      <w:r>
        <w:rPr>
          <w:rFonts w:ascii="Calibri" w:cs="Calibri" w:eastAsia="Calibri" w:hAnsi="Calibri"/>
          <w:b/>
          <w:bCs/>
          <w:sz w:val="17"/>
          <w:szCs w:val="17"/>
        </w:rPr>
        <w:t xml:space="preserve">6.</w:t>
      </w:r>
      <w:r>
        <w:rPr>
          <w:rFonts w:ascii="Calibri" w:cs="Calibri" w:eastAsia="Calibri" w:hAnsi="Calibri"/>
          <w:sz w:val="17"/>
          <w:szCs w:val="17"/>
        </w:rPr>
        <w:t xml:space="preserve">  Where the located loss does not account for the gap, look for an unrecorded movement or a spillage route before concluding it is attrition.</w:t>
      </w:r>
    </w:p>
    <w:p>
      <w:pPr>
        <w:ind w:left="280"/>
        <w:spacing w:after="50" w:before="0" w:line="245"/>
      </w:pPr>
      <w:r>
        <w:rPr>
          <w:rFonts w:ascii="Calibri" w:cs="Calibri" w:eastAsia="Calibri" w:hAnsi="Calibri"/>
          <w:b/>
          <w:bCs/>
          <w:sz w:val="17"/>
          <w:szCs w:val="17"/>
        </w:rPr>
        <w:t xml:space="preserve">7.</w:t>
      </w:r>
      <w:r>
        <w:rPr>
          <w:rFonts w:ascii="Calibri" w:cs="Calibri" w:eastAsia="Calibri" w:hAnsi="Calibri"/>
          <w:sz w:val="17"/>
          <w:szCs w:val="17"/>
        </w:rPr>
        <w:t xml:space="preserve">  Report by location so the fix can be targeted, and update RA-01 and RA-02.</w:t>
      </w:r>
    </w:p>
    <w:p>
      <w:pPr>
        <w:pStyle w:val="Heading1"/>
        <w:spacing w:after="120" w:before="260"/>
      </w:pPr>
      <w:r>
        <w:rPr>
          <w:rFonts w:ascii="Calibri" w:cs="Calibri" w:eastAsia="Calibri" w:hAnsi="Calibri"/>
          <w:b/>
          <w:bCs/>
          <w:color w:val="1F3864"/>
          <w:sz w:val="24"/>
          <w:szCs w:val="24"/>
        </w:rPr>
        <w:t xml:space="preserve">7  ON COMPLETION</w:t>
      </w:r>
    </w:p>
    <w:p>
      <w:pPr>
        <w:pStyle w:val="ListParagraph"/>
        <w:numPr>
          <w:ilvl w:val="0"/>
          <w:numId w:val="1"/>
        </w:numPr>
        <w:spacing w:after="60" w:line="245"/>
      </w:pPr>
      <w:r>
        <w:rPr>
          <w:rFonts w:ascii="Calibri" w:cs="Calibri" w:eastAsia="Calibri" w:hAnsi="Calibri"/>
          <w:sz w:val="17"/>
          <w:szCs w:val="17"/>
        </w:rPr>
        <w:t xml:space="preserve">Leave the area clean. Recover spillage to the drain, not to the ground.</w:t>
      </w:r>
    </w:p>
    <w:p>
      <w:pPr>
        <w:pStyle w:val="ListParagraph"/>
        <w:numPr>
          <w:ilvl w:val="0"/>
          <w:numId w:val="1"/>
        </w:numPr>
        <w:spacing w:after="60" w:line="245"/>
      </w:pPr>
      <w:r>
        <w:rPr>
          <w:rFonts w:ascii="Calibri" w:cs="Calibri" w:eastAsia="Calibri" w:hAnsi="Calibri"/>
          <w:sz w:val="17"/>
          <w:szCs w:val="17"/>
        </w:rPr>
        <w:t xml:space="preserve">Return all equipment to its storage point.</w:t>
      </w:r>
    </w:p>
    <w:p>
      <w:pPr>
        <w:pStyle w:val="ListParagraph"/>
        <w:numPr>
          <w:ilvl w:val="0"/>
          <w:numId w:val="1"/>
        </w:numPr>
        <w:spacing w:after="60" w:line="245"/>
      </w:pPr>
      <w:r>
        <w:rPr>
          <w:rFonts w:ascii="Calibri" w:cs="Calibri" w:eastAsia="Calibri" w:hAnsi="Calibri"/>
          <w:sz w:val="17"/>
          <w:szCs w:val="17"/>
        </w:rPr>
        <w:t xml:space="preserve">Record what was done, what was found and anything not completed.</w:t>
      </w:r>
    </w:p>
    <w:p>
      <w:pPr>
        <w:pStyle w:val="ListParagraph"/>
        <w:numPr>
          <w:ilvl w:val="0"/>
          <w:numId w:val="1"/>
        </w:numPr>
        <w:spacing w:after="60" w:line="245"/>
      </w:pPr>
      <w:r>
        <w:rPr>
          <w:rFonts w:ascii="Calibri" w:cs="Calibri" w:eastAsia="Calibri" w:hAnsi="Calibri"/>
          <w:sz w:val="17"/>
          <w:szCs w:val="17"/>
        </w:rPr>
        <w:t xml:space="preserve">Notify the control room that the task is complete.</w:t>
      </w:r>
    </w:p>
    <w:p>
      <w:pPr>
        <w:pStyle w:val="Heading1"/>
        <w:spacing w:after="120" w:before="260"/>
      </w:pPr>
      <w:r>
        <w:rPr>
          <w:rFonts w:ascii="Calibri" w:cs="Calibri" w:eastAsia="Calibri" w:hAnsi="Calibri"/>
          <w:b/>
          <w:bCs/>
          <w:color w:val="1F3864"/>
          <w:sz w:val="24"/>
          <w:szCs w:val="24"/>
        </w:rPr>
        <w:t xml:space="preserve">8  RECORDS</w:t>
      </w:r>
    </w:p>
    <w:p>
      <w:pPr>
        <w:pStyle w:val="ListParagraph"/>
        <w:numPr>
          <w:ilvl w:val="0"/>
          <w:numId w:val="1"/>
        </w:numPr>
        <w:spacing w:after="60" w:line="245"/>
      </w:pPr>
      <w:r>
        <w:rPr>
          <w:rFonts w:ascii="Calibri" w:cs="Calibri" w:eastAsia="Calibri" w:hAnsi="Calibri"/>
          <w:sz w:val="17"/>
          <w:szCs w:val="17"/>
        </w:rPr>
        <w:t xml:space="preserve">Field or bench data sheet - date, time, shift, operator, and every value determined.</w:t>
      </w:r>
    </w:p>
    <w:p>
      <w:pPr>
        <w:pStyle w:val="ListParagraph"/>
        <w:numPr>
          <w:ilvl w:val="0"/>
          <w:numId w:val="1"/>
        </w:numPr>
        <w:spacing w:after="60" w:line="245"/>
      </w:pPr>
      <w:r>
        <w:rPr>
          <w:rFonts w:ascii="Calibri" w:cs="Calibri" w:eastAsia="Calibri" w:hAnsi="Calibri"/>
          <w:sz w:val="17"/>
          <w:szCs w:val="17"/>
        </w:rPr>
        <w:t xml:space="preserve">Register or logbook entry and any handover signature.</w:t>
      </w:r>
    </w:p>
    <w:p>
      <w:pPr>
        <w:pStyle w:val="ListParagraph"/>
        <w:numPr>
          <w:ilvl w:val="0"/>
          <w:numId w:val="1"/>
        </w:numPr>
        <w:spacing w:after="60" w:line="245"/>
      </w:pPr>
      <w:r>
        <w:rPr>
          <w:rFonts w:ascii="Calibri" w:cs="Calibri" w:eastAsia="Calibri" w:hAnsi="Calibri"/>
          <w:sz w:val="17"/>
          <w:szCs w:val="17"/>
        </w:rPr>
        <w:t xml:space="preserve">Any step not completed, recorded with the reason.</w:t>
      </w:r>
    </w:p>
    <w:p>
      <w:pPr>
        <w:pStyle w:val="ListParagraph"/>
        <w:numPr>
          <w:ilvl w:val="0"/>
          <w:numId w:val="1"/>
        </w:numPr>
        <w:spacing w:after="60" w:line="245"/>
      </w:pPr>
      <w:r>
        <w:rPr>
          <w:rFonts w:ascii="Calibri" w:cs="Calibri" w:eastAsia="Calibri" w:hAnsi="Calibri"/>
          <w:sz w:val="17"/>
          <w:szCs w:val="17"/>
        </w:rPr>
        <w:t xml:space="preserve">Any control in Section 3 found not in place, reported to the Shift Supervisor and recorded.</w:t>
      </w:r>
    </w:p>
    <w:p>
      <w:pPr>
        <w:pStyle w:val="Heading1"/>
        <w:spacing w:after="120" w:before="260"/>
      </w:pPr>
      <w:r>
        <w:rPr>
          <w:rFonts w:ascii="Calibri" w:cs="Calibri" w:eastAsia="Calibri" w:hAnsi="Calibri"/>
          <w:b/>
          <w:bCs/>
          <w:color w:val="1F3864"/>
          <w:sz w:val="24"/>
          <w:szCs w:val="24"/>
        </w:rPr>
        <w:t xml:space="preserve">9  REFERENCE</w:t>
      </w:r>
    </w:p>
    <w:p>
      <w:pPr>
        <w:pStyle w:val="ListParagraph"/>
        <w:numPr>
          <w:ilvl w:val="0"/>
          <w:numId w:val="1"/>
        </w:numPr>
        <w:spacing w:after="60" w:line="245"/>
      </w:pPr>
      <w:r>
        <w:rPr>
          <w:rFonts w:ascii="Calibri" w:cs="Calibri" w:eastAsia="Calibri" w:hAnsi="Calibri"/>
          <w:sz w:val="17"/>
          <w:szCs w:val="17"/>
        </w:rPr>
        <w:t xml:space="preserve">RA-01 Resin Loss Register and RA-02 Carbon Contamination Register Rev A, and their study reports</w:t>
      </w:r>
    </w:p>
    <w:p>
      <w:pPr>
        <w:pStyle w:val="ListParagraph"/>
        <w:numPr>
          <w:ilvl w:val="0"/>
          <w:numId w:val="1"/>
        </w:numPr>
        <w:spacing w:after="60" w:line="245"/>
      </w:pPr>
      <w:r>
        <w:rPr>
          <w:rFonts w:ascii="Calibri" w:cs="Calibri" w:eastAsia="Calibri" w:hAnsi="Calibri"/>
          <w:sz w:val="17"/>
          <w:szCs w:val="17"/>
        </w:rPr>
        <w:t xml:space="preserve">MM-4034-033-RES Resin Line Schedule (268 lines)</w:t>
      </w:r>
    </w:p>
    <w:p>
      <w:pPr>
        <w:pStyle w:val="ListParagraph"/>
        <w:numPr>
          <w:ilvl w:val="0"/>
          <w:numId w:val="1"/>
        </w:numPr>
        <w:spacing w:after="60" w:line="245"/>
      </w:pPr>
      <w:r>
        <w:rPr>
          <w:rFonts w:ascii="Calibri" w:cs="Calibri" w:eastAsia="Calibri" w:hAnsi="Calibri"/>
          <w:sz w:val="17"/>
          <w:szCs w:val="17"/>
        </w:rPr>
        <w:t xml:space="preserve">KBK-MIR-MP-PRO-MET-SOP-0058 Distribusi Ukuran Partikel Resin, received 11 Aug 2026</w:t>
      </w:r>
    </w:p>
    <w:sectPr>
      <w:headerReference w:type="default" r:id="rId7"/>
      <w:footerReference w:type="default" r:id="rId8"/>
      <w:pgSz w:w="11906" w:h="16838" w:orient="portrait"/>
      <w:pgMar w:top="1000" w:right="1000" w:bottom="9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Calibri" w:cs="Calibri" w:eastAsia="Calibri" w:hAnsi="Calibri"/>
        <w:color w:val="595959"/>
        <w:sz w:val="15"/>
        <w:szCs w:val="15"/>
      </w:rPr>
      <w:t xml:space="preserve">Page </w:t>
    </w:r>
    <w:r>
      <w:rPr>
        <w:rFonts w:ascii="Calibri" w:cs="Calibri" w:eastAsia="Calibri" w:hAnsi="Calibri"/>
        <w:color w:val="595959"/>
        <w:sz w:val="15"/>
        <w:szCs w:val="15"/>
      </w:rPr>
      <w:fldChar w:fldCharType="begin"/>
      <w:instrText xml:space="preserve">PAGE</w:instrText>
      <w:fldChar w:fldCharType="separate"/>
      <w:fldChar w:fldCharType="end"/>
    </w:r>
    <w:r>
      <w:rPr>
        <w:rFonts w:ascii="Calibri" w:cs="Calibri" w:eastAsia="Calibri" w:hAnsi="Calibri"/>
        <w:color w:val="595959"/>
        <w:sz w:val="15"/>
        <w:szCs w:val="15"/>
      </w:rPr>
      <w:t xml:space="preserve"> of </w:t>
    </w:r>
    <w:r>
      <w:rPr>
        <w:rFonts w:ascii="Calibri" w:cs="Calibri" w:eastAsia="Calibri" w:hAnsi="Calibri"/>
        <w:color w:val="595959"/>
        <w:sz w:val="15"/>
        <w:szCs w:val="15"/>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sz="4" w:space="2" w:color="D7DEE9"/>
      </w:pBdr>
      <w:spacing w:after="0" w:line="240"/>
    </w:pPr>
    <w:r>
      <w:rPr>
        <w:rFonts w:ascii="Calibri" w:cs="Calibri" w:eastAsia="Calibri" w:hAnsi="Calibri"/>
        <w:color w:val="555555"/>
        <w:sz w:val="15"/>
        <w:szCs w:val="15"/>
      </w:rPr>
      <w:t xml:space="preserve">SWI-PRO-MET-203-011  ·  Carbon and Resin Loss Quantification Survey  ·  Rev A</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19"/>
        <w:szCs w:val="19"/>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2026-08-09T12:17:56.406Z</dcterms:created>
  <dcterms:modified xsi:type="dcterms:W3CDTF">2026-08-09T12:17:56.406Z</dcterms:modified>
</cp:coreProperties>
</file>

<file path=docProps/custom.xml><?xml version="1.0" encoding="utf-8"?>
<Properties xmlns="http://schemas.openxmlformats.org/officeDocument/2006/custom-properties" xmlns:vt="http://schemas.openxmlformats.org/officeDocument/2006/docPropsVTypes"/>
</file>