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Oxygen Utilisation and Sparger Performance Survey</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SWI-PRO-MET-203-012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JSEA-PRO-MET-203-012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Measure how much of the oxygen injected into the leach is actually being used, and whether the spargers are delivering it.</w:t>
      </w:r>
    </w:p>
    <w:p>
      <w:pPr>
        <w:spacing w:after="60" w:before="0" w:line="245"/>
      </w:pPr>
      <w:r>
        <w:rPr>
          <w:rFonts w:ascii="Calibri" w:cs="Calibri" w:eastAsia="Calibri" w:hAnsi="Calibri"/>
          <w:sz w:val="17"/>
          <w:szCs w:val="17"/>
        </w:rPr>
        <w:t xml:space="preserve">Oxygen is a direct input to gold dissolution. A blocked or worn sparger costs recovery quietly.</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031-TK-001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Leach tank - oxygen spargers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Hypersparge</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Supersonic gas spargers DN15 and DN25</w:t>
            </w:r>
          </w:p>
        </w:tc>
      </w:tr>
    </w:tbl>
    <w:p>
      <w:pPr>
        <w:spacing w:after="60" w:before="0" w:line="245"/>
      </w:pPr>
    </w:p>
    <w:p>
      <w:pPr>
        <w:spacing w:after="60" w:before="0" w:line="245"/>
      </w:pPr>
      <w:r>
        <w:rPr>
          <w:rFonts w:ascii="Calibri" w:cs="Calibri" w:eastAsia="Calibri" w:hAnsi="Calibri"/>
          <w:sz w:val="17"/>
          <w:szCs w:val="17"/>
        </w:rPr>
        <w:t xml:space="preserve">Frequency: Quarterly, and after any sparger clean or replacement.</w:t>
      </w:r>
    </w:p>
    <w:p>
      <w:pPr>
        <w:spacing w:after="60" w:before="0" w:line="245"/>
      </w:pPr>
      <w:r>
        <w:rPr>
          <w:rFonts w:ascii="Calibri" w:cs="Calibri" w:eastAsia="Calibri" w:hAnsi="Calibri"/>
          <w:sz w:val="17"/>
          <w:szCs w:val="17"/>
        </w:rPr>
        <w:t xml:space="preserve">This instruction sits under Standard Work Procedure HM-PRC-VXX-PRO207 - Plant Surveys and Circuit Performance Assessment. Read that procedure before carrying out this task for the first time.</w:t>
      </w:r>
    </w:p>
    <w:p>
      <w:pPr>
        <w:spacing w:after="60" w:before="0" w:line="245"/>
      </w:pPr>
      <w:r>
        <w:rPr>
          <w:rFonts w:ascii="Calibri" w:cs="Calibri" w:eastAsia="Calibri" w:hAnsi="Calibri"/>
          <w:sz w:val="17"/>
          <w:szCs w:val="17"/>
        </w:rPr>
        <w:t xml:space="preserve">Register line: SWI-PRO-MET-203-012 in HM-MMM-WHS-REG-XXX-R00-SWI-SWMS, tab SWI-MET. The matching hazard analysis is JSEA-PRO-MET-203-012.</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JSEA-PRO-MET-203-012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JSEA-PRO-MET-203-012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DO meter, calibrated</w:t>
      </w:r>
    </w:p>
    <w:p>
      <w:pPr>
        <w:pStyle w:val="ListParagraph"/>
        <w:numPr>
          <w:ilvl w:val="0"/>
          <w:numId w:val="1"/>
        </w:numPr>
        <w:spacing w:after="60" w:line="245"/>
      </w:pPr>
      <w:r>
        <w:rPr>
          <w:rFonts w:ascii="Calibri" w:cs="Calibri" w:eastAsia="Calibri" w:hAnsi="Calibri"/>
          <w:sz w:val="17"/>
          <w:szCs w:val="17"/>
        </w:rPr>
        <w:t xml:space="preserve">Sample containers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ListParagraph"/>
        <w:numPr>
          <w:ilvl w:val="0"/>
          <w:numId w:val="1"/>
        </w:numPr>
        <w:spacing w:after="60" w:line="245"/>
      </w:pPr>
      <w:r>
        <w:rPr>
          <w:rFonts w:ascii="Calibri" w:cs="Calibri" w:eastAsia="Calibri" w:hAnsi="Calibri"/>
          <w:sz w:val="17"/>
          <w:szCs w:val="17"/>
        </w:rPr>
        <w:t xml:space="preserve">Oxygen flow readings from the control system</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the oxygen supply pressure and flow to each sparger from the control system.</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Measure dissolved oxygen at several depths and positions in the tank, not at one point. A single reading at the launder does not describe the tank.</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the DO reading immediately on sampling - atmospheric exchange starts as soon as the sample is drawn.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Calculate oxygen utilisation from the injected flow and the measured dissolved oxygen against the consumption implied by the leach rate.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the sparger operating pressure against the Hypersparge instructions. A sparger operating below its design pressure is not atomising.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Inspect the sparger condition against the vendor criteria where access allows.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utilisation, the DO profile and any sparger due for cleaning or replacement.</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4034-044-VE-003 Rev B Glencore Hypersparge supersonic gas sparger installation and operating instructions, received 11 Aug 2026</w:t>
      </w:r>
    </w:p>
    <w:p>
      <w:pPr>
        <w:pStyle w:val="ListParagraph"/>
        <w:numPr>
          <w:ilvl w:val="0"/>
          <w:numId w:val="1"/>
        </w:numPr>
        <w:spacing w:after="60" w:line="245"/>
      </w:pPr>
      <w:r>
        <w:rPr>
          <w:rFonts w:ascii="Calibri" w:cs="Calibri" w:eastAsia="Calibri" w:hAnsi="Calibri"/>
          <w:sz w:val="17"/>
          <w:szCs w:val="17"/>
        </w:rPr>
        <w:t xml:space="preserve">KBK-MIR-MP-PRO-MET-SOP-0046 Pengukuran Oksigen Terlarut, received 11 Aug 2026</w:t>
      </w:r>
    </w:p>
    <w:p>
      <w:pPr>
        <w:pStyle w:val="ListParagraph"/>
        <w:numPr>
          <w:ilvl w:val="0"/>
          <w:numId w:val="1"/>
        </w:numPr>
        <w:spacing w:after="60" w:line="245"/>
      </w:pPr>
      <w:r>
        <w:rPr>
          <w:rFonts w:ascii="Calibri" w:cs="Calibri" w:eastAsia="Calibri" w:hAnsi="Calibri"/>
          <w:sz w:val="17"/>
          <w:szCs w:val="17"/>
        </w:rPr>
        <w:t xml:space="preserve">HM-PRC-V01-PRO004 Leach Circuit and SWI-PRO-OPR-031-004 Oxygen Sparger Inspection and Cleaning</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SWI-PRO-MET-203-012  ·  Oxygen Utilisation and Sparger Performance Survey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