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Met Lab Sample Receipt, Logging and Storage</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SWI-PRO-MET-204-001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JSEA-PRO-MET-204-001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Receive samples into the metallurgical laboratory with a chain of custody that holds.</w:t>
      </w:r>
    </w:p>
    <w:p>
      <w:pPr>
        <w:spacing w:after="60" w:before="0" w:line="245"/>
      </w:pPr>
      <w:r>
        <w:rPr>
          <w:rFonts w:ascii="Calibri" w:cs="Calibri" w:eastAsia="Calibri" w:hAnsi="Calibri"/>
          <w:sz w:val="17"/>
          <w:szCs w:val="17"/>
        </w:rPr>
        <w:t xml:space="preserve">A sample that cannot be traced back to a point, a time and a shift is worthless no matter how well it is analysed.</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delivery from the plant.</w:t>
      </w:r>
    </w:p>
    <w:p>
      <w:pPr>
        <w:spacing w:after="60" w:before="0" w:line="245"/>
      </w:pPr>
      <w:r>
        <w:rPr>
          <w:rFonts w:ascii="Calibri" w:cs="Calibri" w:eastAsia="Calibri" w:hAnsi="Calibri"/>
          <w:sz w:val="17"/>
          <w:szCs w:val="17"/>
        </w:rPr>
        <w:t xml:space="preserve">This instruction sits under Standard Work Procedure HM-PRC-VXX-PRO208 - Metallurgical Laboratory Physical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SWI-PRO-MET-204-001 in HM-MMM-WHS-REG-XXX-R00-SWI-SWMS, tab SWI-MET. The matching hazard analysis is JSEA-PRO-MET-204-001.</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JSEA-PRO-MET-204-001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JSEA-PRO-MET-204-001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register or LIMS entry</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Storage racks and bins</w:t>
      </w:r>
    </w:p>
    <w:p>
      <w:pPr>
        <w:pStyle w:val="ListParagraph"/>
        <w:numPr>
          <w:ilvl w:val="0"/>
          <w:numId w:val="1"/>
        </w:numPr>
        <w:spacing w:after="60" w:line="245"/>
      </w:pPr>
      <w:r>
        <w:rPr>
          <w:rFonts w:ascii="Calibri" w:cs="Calibri" w:eastAsia="Calibri" w:hAnsi="Calibri"/>
          <w:sz w:val="17"/>
          <w:szCs w:val="17"/>
        </w:rPr>
        <w:t xml:space="preserve">Labels and marker</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the delivery against the handover sheet - every sample listed is present and every sample present is listed.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Reject and record any sample that is unlabelled, illegible, leaking or clearly the wrong material.</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Log each sample against its point, date, time, shift and the analyses requested.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Assign a laboratory number and mark it on the container.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Weigh the sample where the method requires a receipt mass.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Store to the storage rack for its stream. Keep high-grade streams separate from low-grade.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Sign the handover and return a copy to the plant.</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KBK-MIR-LAB-PRE-SOP-001 Penerimaan Sampel and PRE-SOP-002 Sortir Sampel</w:t>
      </w:r>
    </w:p>
    <w:p>
      <w:pPr>
        <w:pStyle w:val="ListParagraph"/>
        <w:numPr>
          <w:ilvl w:val="0"/>
          <w:numId w:val="1"/>
        </w:numPr>
        <w:spacing w:after="60" w:line="245"/>
      </w:pPr>
      <w:r>
        <w:rPr>
          <w:rFonts w:ascii="Calibri" w:cs="Calibri" w:eastAsia="Calibri" w:hAnsi="Calibri"/>
          <w:sz w:val="17"/>
          <w:szCs w:val="17"/>
        </w:rPr>
        <w:t xml:space="preserve">4034-PR-PRO-002 Sampling Protocol</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SWI-PRO-MET-204-001  ·  Met Lab Sample Receipt, Logging and Storage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