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before="0" w:line="250"/>
      </w:pPr>
      <w:r>
        <w:rPr>
          <w:rFonts w:ascii="Calibri" w:cs="Calibri" w:eastAsia="Calibri" w:hAnsi="Calibri"/>
          <w:b/>
          <w:bCs/>
          <w:color w:val="1F3864"/>
          <w:sz w:val="19"/>
          <w:szCs w:val="19"/>
        </w:rPr>
        <w:t xml:space="preserve">Mt. Morgan SITE WORK INSTRUCTION</w:t>
      </w:r>
    </w:p>
    <w:p>
      <w:pPr>
        <w:pBdr>
          <w:bottom w:val="single" w:sz="8" w:space="4" w:color="1F3864"/>
        </w:pBdr>
        <w:spacing w:after="80" w:before="0" w:line="300"/>
      </w:pPr>
      <w:r>
        <w:rPr>
          <w:rFonts w:ascii="Calibri" w:cs="Calibri" w:eastAsia="Calibri" w:hAnsi="Calibri"/>
          <w:b/>
          <w:bCs/>
          <w:color w:val="1F3864"/>
          <w:sz w:val="32"/>
          <w:szCs w:val="32"/>
        </w:rPr>
        <w:t xml:space="preserve">Solids Specific Gravity by Pycnometer</w:t>
      </w:r>
    </w:p>
    <w:p>
      <w:pPr>
        <w:spacing w:after="140" w:before="0" w:line="245"/>
      </w:pPr>
      <w:r>
        <w:rPr>
          <w:rFonts w:ascii="Calibri" w:cs="Calibri" w:eastAsia="Calibri" w:hAnsi="Calibri"/>
          <w:color w:val="555555"/>
          <w:sz w:val="17"/>
          <w:szCs w:val="17"/>
        </w:rPr>
        <w:t xml:space="preserve">Standard Work Instruction  ·  Heritage Minerals  ·  Mt. Morgan Processing Plant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00"/>
        <w:gridCol w:w="6826"/>
      </w:tblGrid>
      <w:tr>
        <w:tc>
          <w:tcPr>
            <w:tcW w:type="dxa" w:w="2200"/>
            <w:shd w:val="clear" w:color="auto" w:fill="F2F5FA"/>
            <w:tcMar>
              <w:top w:type="dxa" w:w="55"/>
              <w:left w:type="dxa" w:w="85"/>
              <w:bottom w:type="dxa" w:w="55"/>
              <w:right w:type="dxa" w:w="85"/>
            </w:tcMar>
          </w:tcPr>
          <w:p>
            <w:pPr>
              <w:spacing w:after="0" w:line="235"/>
            </w:pPr>
            <w:r>
              <w:rPr>
                <w:rFonts w:ascii="Calibri" w:cs="Calibri" w:eastAsia="Calibri" w:hAnsi="Calibri"/>
                <w:b/>
                <w:bCs/>
                <w:sz w:val="17"/>
                <w:szCs w:val="17"/>
              </w:rPr>
              <w:t xml:space="preserve">Document number</w:t>
            </w:r>
          </w:p>
        </w:tc>
        <w:tc>
          <w:tcPr>
            <w:tcW w:type="dxa" w:w="6826"/>
            <w:tcMar>
              <w:top w:type="dxa" w:w="55"/>
              <w:left w:type="dxa" w:w="85"/>
              <w:bottom w:type="dxa" w:w="55"/>
              <w:right w:type="dxa" w:w="85"/>
            </w:tcMar>
          </w:tcPr>
          <w:p>
            <w:pPr>
              <w:spacing w:after="0" w:line="235"/>
            </w:pPr>
            <w:r>
              <w:rPr>
                <w:rFonts w:ascii="Calibri" w:cs="Calibri" w:eastAsia="Calibri" w:hAnsi="Calibri"/>
                <w:sz w:val="17"/>
                <w:szCs w:val="17"/>
              </w:rPr>
              <w:t xml:space="preserve">SWI-PRO-MET-204-005</w:t>
            </w:r>
          </w:p>
        </w:tc>
      </w:tr>
      <w:tr>
        <w:tc>
          <w:tcPr>
            <w:tcW w:type="dxa" w:w="2200"/>
            <w:shd w:val="clear" w:color="auto" w:fill="F2F5FA"/>
            <w:tcMar>
              <w:top w:type="dxa" w:w="55"/>
              <w:left w:type="dxa" w:w="85"/>
              <w:bottom w:type="dxa" w:w="55"/>
              <w:right w:type="dxa" w:w="85"/>
            </w:tcMar>
          </w:tcPr>
          <w:p>
            <w:pPr>
              <w:spacing w:after="0" w:line="235"/>
            </w:pPr>
            <w:r>
              <w:rPr>
                <w:rFonts w:ascii="Calibri" w:cs="Calibri" w:eastAsia="Calibri" w:hAnsi="Calibri"/>
                <w:b/>
                <w:bCs/>
                <w:sz w:val="17"/>
                <w:szCs w:val="17"/>
              </w:rPr>
              <w:t xml:space="preserve">JSEA reference</w:t>
            </w:r>
          </w:p>
        </w:tc>
        <w:tc>
          <w:tcPr>
            <w:tcW w:type="dxa" w:w="6826"/>
            <w:tcMar>
              <w:top w:type="dxa" w:w="55"/>
              <w:left w:type="dxa" w:w="85"/>
              <w:bottom w:type="dxa" w:w="55"/>
              <w:right w:type="dxa" w:w="85"/>
            </w:tcMar>
          </w:tcPr>
          <w:p>
            <w:pPr>
              <w:spacing w:after="0" w:line="235"/>
            </w:pPr>
            <w:r>
              <w:rPr>
                <w:rFonts w:ascii="Calibri" w:cs="Calibri" w:eastAsia="Calibri" w:hAnsi="Calibri"/>
                <w:sz w:val="17"/>
                <w:szCs w:val="17"/>
              </w:rPr>
              <w:t xml:space="preserve">JSEA-PRO-MET-204-005</w:t>
            </w:r>
          </w:p>
        </w:tc>
      </w:tr>
      <w:tr>
        <w:tc>
          <w:tcPr>
            <w:tcW w:type="dxa" w:w="2200"/>
            <w:shd w:val="clear" w:color="auto" w:fill="F2F5FA"/>
            <w:tcMar>
              <w:top w:type="dxa" w:w="55"/>
              <w:left w:type="dxa" w:w="85"/>
              <w:bottom w:type="dxa" w:w="55"/>
              <w:right w:type="dxa" w:w="85"/>
            </w:tcMar>
          </w:tcPr>
          <w:p>
            <w:pPr>
              <w:spacing w:after="0" w:line="235"/>
            </w:pPr>
            <w:r>
              <w:rPr>
                <w:rFonts w:ascii="Calibri" w:cs="Calibri" w:eastAsia="Calibri" w:hAnsi="Calibri"/>
                <w:b/>
                <w:bCs/>
                <w:sz w:val="17"/>
                <w:szCs w:val="17"/>
              </w:rPr>
              <w:t xml:space="preserve">Area</w:t>
            </w:r>
          </w:p>
        </w:tc>
        <w:tc>
          <w:tcPr>
            <w:tcW w:type="dxa" w:w="6826"/>
            <w:tcMar>
              <w:top w:type="dxa" w:w="55"/>
              <w:left w:type="dxa" w:w="85"/>
              <w:bottom w:type="dxa" w:w="55"/>
              <w:right w:type="dxa" w:w="85"/>
            </w:tcMar>
          </w:tcPr>
          <w:p>
            <w:pPr>
              <w:spacing w:after="0" w:line="235"/>
            </w:pPr>
            <w:r>
              <w:rPr>
                <w:rFonts w:ascii="Calibri" w:cs="Calibri" w:eastAsia="Calibri" w:hAnsi="Calibri"/>
                <w:sz w:val="17"/>
                <w:szCs w:val="17"/>
              </w:rPr>
              <w:t xml:space="preserve">204  Met Lab - Physical Testwork</w:t>
            </w:r>
          </w:p>
        </w:tc>
      </w:tr>
      <w:tr>
        <w:tc>
          <w:tcPr>
            <w:tcW w:type="dxa" w:w="2200"/>
            <w:shd w:val="clear" w:color="auto" w:fill="F2F5FA"/>
            <w:tcMar>
              <w:top w:type="dxa" w:w="55"/>
              <w:left w:type="dxa" w:w="85"/>
              <w:bottom w:type="dxa" w:w="55"/>
              <w:right w:type="dxa" w:w="85"/>
            </w:tcMar>
          </w:tcPr>
          <w:p>
            <w:pPr>
              <w:spacing w:after="0" w:line="235"/>
            </w:pPr>
            <w:r>
              <w:rPr>
                <w:rFonts w:ascii="Calibri" w:cs="Calibri" w:eastAsia="Calibri" w:hAnsi="Calibri"/>
                <w:b/>
                <w:bCs/>
                <w:sz w:val="17"/>
                <w:szCs w:val="17"/>
              </w:rPr>
              <w:t xml:space="preserve">Parent procedure</w:t>
            </w:r>
          </w:p>
        </w:tc>
        <w:tc>
          <w:tcPr>
            <w:tcW w:type="dxa" w:w="6826"/>
            <w:tcMar>
              <w:top w:type="dxa" w:w="55"/>
              <w:left w:type="dxa" w:w="85"/>
              <w:bottom w:type="dxa" w:w="55"/>
              <w:right w:type="dxa" w:w="85"/>
            </w:tcMar>
          </w:tcPr>
          <w:p>
            <w:pPr>
              <w:spacing w:after="0" w:line="235"/>
            </w:pPr>
            <w:r>
              <w:rPr>
                <w:rFonts w:ascii="Calibri" w:cs="Calibri" w:eastAsia="Calibri" w:hAnsi="Calibri"/>
                <w:sz w:val="17"/>
                <w:szCs w:val="17"/>
              </w:rPr>
              <w:t xml:space="preserve">HM-PRC-VXX-PRO208  Metallurgical Laboratory Physical Testwork</w:t>
            </w:r>
          </w:p>
        </w:tc>
      </w:tr>
      <w:tr>
        <w:tc>
          <w:tcPr>
            <w:tcW w:type="dxa" w:w="2200"/>
            <w:shd w:val="clear" w:color="auto" w:fill="F2F5FA"/>
            <w:tcMar>
              <w:top w:type="dxa" w:w="55"/>
              <w:left w:type="dxa" w:w="85"/>
              <w:bottom w:type="dxa" w:w="55"/>
              <w:right w:type="dxa" w:w="85"/>
            </w:tcMar>
          </w:tcPr>
          <w:p>
            <w:pPr>
              <w:spacing w:after="0" w:line="235"/>
            </w:pPr>
            <w:r>
              <w:rPr>
                <w:rFonts w:ascii="Calibri" w:cs="Calibri" w:eastAsia="Calibri" w:hAnsi="Calibri"/>
                <w:b/>
                <w:bCs/>
                <w:sz w:val="17"/>
                <w:szCs w:val="17"/>
              </w:rPr>
              <w:t xml:space="preserve">Classification</w:t>
            </w:r>
          </w:p>
        </w:tc>
        <w:tc>
          <w:tcPr>
            <w:tcW w:type="dxa" w:w="6826"/>
            <w:tcMar>
              <w:top w:type="dxa" w:w="55"/>
              <w:left w:type="dxa" w:w="85"/>
              <w:bottom w:type="dxa" w:w="55"/>
              <w:right w:type="dxa" w:w="85"/>
            </w:tcMar>
          </w:tcPr>
          <w:p>
            <w:pPr>
              <w:spacing w:after="0" w:line="235"/>
            </w:pPr>
            <w:r>
              <w:rPr>
                <w:rFonts w:ascii="Calibri" w:cs="Calibri" w:eastAsia="Calibri" w:hAnsi="Calibri"/>
                <w:sz w:val="17"/>
                <w:szCs w:val="17"/>
              </w:rPr>
              <w:t xml:space="preserve">Operating</w:t>
            </w:r>
          </w:p>
        </w:tc>
      </w:tr>
      <w:tr>
        <w:tc>
          <w:tcPr>
            <w:tcW w:type="dxa" w:w="2200"/>
            <w:shd w:val="clear" w:color="auto" w:fill="F2F5FA"/>
            <w:tcMar>
              <w:top w:type="dxa" w:w="55"/>
              <w:left w:type="dxa" w:w="85"/>
              <w:bottom w:type="dxa" w:w="55"/>
              <w:right w:type="dxa" w:w="85"/>
            </w:tcMar>
          </w:tcPr>
          <w:p>
            <w:pPr>
              <w:spacing w:after="0" w:line="235"/>
            </w:pPr>
            <w:r>
              <w:rPr>
                <w:rFonts w:ascii="Calibri" w:cs="Calibri" w:eastAsia="Calibri" w:hAnsi="Calibri"/>
                <w:b/>
                <w:bCs/>
                <w:sz w:val="17"/>
                <w:szCs w:val="17"/>
              </w:rPr>
              <w:t xml:space="preserve">Revision</w:t>
            </w:r>
          </w:p>
        </w:tc>
        <w:tc>
          <w:tcPr>
            <w:tcW w:type="dxa" w:w="6826"/>
            <w:tcMar>
              <w:top w:type="dxa" w:w="55"/>
              <w:left w:type="dxa" w:w="85"/>
              <w:bottom w:type="dxa" w:w="55"/>
              <w:right w:type="dxa" w:w="85"/>
            </w:tcMar>
          </w:tcPr>
          <w:p>
            <w:pPr>
              <w:spacing w:after="0" w:line="235"/>
            </w:pPr>
            <w:r>
              <w:rPr>
                <w:rFonts w:ascii="Calibri" w:cs="Calibri" w:eastAsia="Calibri" w:hAnsi="Calibri"/>
                <w:sz w:val="17"/>
                <w:szCs w:val="17"/>
              </w:rPr>
              <w:t xml:space="preserve">Rev A</w:t>
            </w:r>
          </w:p>
        </w:tc>
      </w:tr>
      <w:tr>
        <w:tc>
          <w:tcPr>
            <w:tcW w:type="dxa" w:w="2200"/>
            <w:shd w:val="clear" w:color="auto" w:fill="F2F5FA"/>
            <w:tcMar>
              <w:top w:type="dxa" w:w="55"/>
              <w:left w:type="dxa" w:w="85"/>
              <w:bottom w:type="dxa" w:w="55"/>
              <w:right w:type="dxa" w:w="85"/>
            </w:tcMar>
          </w:tcPr>
          <w:p>
            <w:pPr>
              <w:spacing w:after="0" w:line="235"/>
            </w:pPr>
            <w:r>
              <w:rPr>
                <w:rFonts w:ascii="Calibri" w:cs="Calibri" w:eastAsia="Calibri" w:hAnsi="Calibri"/>
                <w:b/>
                <w:bCs/>
                <w:sz w:val="17"/>
                <w:szCs w:val="17"/>
              </w:rPr>
              <w:t xml:space="preserve">Date</w:t>
            </w:r>
          </w:p>
        </w:tc>
        <w:tc>
          <w:tcPr>
            <w:tcW w:type="dxa" w:w="6826"/>
            <w:tcMar>
              <w:top w:type="dxa" w:w="55"/>
              <w:left w:type="dxa" w:w="85"/>
              <w:bottom w:type="dxa" w:w="55"/>
              <w:right w:type="dxa" w:w="85"/>
            </w:tcMar>
          </w:tcPr>
          <w:p>
            <w:pPr>
              <w:spacing w:after="0" w:line="235"/>
            </w:pPr>
            <w:r>
              <w:rPr>
                <w:rFonts w:ascii="Calibri" w:cs="Calibri" w:eastAsia="Calibri" w:hAnsi="Calibri"/>
                <w:sz w:val="17"/>
                <w:szCs w:val="17"/>
              </w:rPr>
              <w:t xml:space="preserve">11 August 2026</w:t>
            </w:r>
          </w:p>
        </w:tc>
      </w:tr>
      <w:tr>
        <w:tc>
          <w:tcPr>
            <w:tcW w:type="dxa" w:w="2200"/>
            <w:shd w:val="clear" w:color="auto" w:fill="F2F5FA"/>
            <w:tcMar>
              <w:top w:type="dxa" w:w="55"/>
              <w:left w:type="dxa" w:w="85"/>
              <w:bottom w:type="dxa" w:w="55"/>
              <w:right w:type="dxa" w:w="85"/>
            </w:tcMar>
          </w:tcPr>
          <w:p>
            <w:pPr>
              <w:spacing w:after="0" w:line="235"/>
            </w:pPr>
            <w:r>
              <w:rPr>
                <w:rFonts w:ascii="Calibri" w:cs="Calibri" w:eastAsia="Calibri" w:hAnsi="Calibri"/>
                <w:b/>
                <w:bCs/>
                <w:sz w:val="17"/>
                <w:szCs w:val="17"/>
              </w:rPr>
              <w:t xml:space="preserve">Prepared by</w:t>
            </w:r>
          </w:p>
        </w:tc>
        <w:tc>
          <w:tcPr>
            <w:tcW w:type="dxa" w:w="6826"/>
            <w:tcMar>
              <w:top w:type="dxa" w:w="55"/>
              <w:left w:type="dxa" w:w="85"/>
              <w:bottom w:type="dxa" w:w="55"/>
              <w:right w:type="dxa" w:w="85"/>
            </w:tcMar>
          </w:tcPr>
          <w:p>
            <w:pPr>
              <w:spacing w:after="0" w:line="235"/>
            </w:pPr>
            <w:r>
              <w:rPr>
                <w:rFonts w:ascii="Calibri" w:cs="Calibri" w:eastAsia="Calibri" w:hAnsi="Calibri"/>
                <w:sz w:val="17"/>
                <w:szCs w:val="17"/>
              </w:rPr>
              <w:t xml:space="preserve">GGT (cost code 4034-033)</w:t>
            </w:r>
          </w:p>
        </w:tc>
      </w:tr>
      <w:tr>
        <w:tc>
          <w:tcPr>
            <w:tcW w:type="dxa" w:w="2200"/>
            <w:shd w:val="clear" w:color="auto" w:fill="F2F5FA"/>
            <w:tcMar>
              <w:top w:type="dxa" w:w="55"/>
              <w:left w:type="dxa" w:w="85"/>
              <w:bottom w:type="dxa" w:w="55"/>
              <w:right w:type="dxa" w:w="85"/>
            </w:tcMar>
          </w:tcPr>
          <w:p>
            <w:pPr>
              <w:spacing w:after="0" w:line="235"/>
            </w:pPr>
            <w:r>
              <w:rPr>
                <w:rFonts w:ascii="Calibri" w:cs="Calibri" w:eastAsia="Calibri" w:hAnsi="Calibri"/>
                <w:b/>
                <w:bCs/>
                <w:sz w:val="17"/>
                <w:szCs w:val="17"/>
              </w:rPr>
              <w:t xml:space="preserve">Reviewed by</w:t>
            </w:r>
          </w:p>
        </w:tc>
        <w:tc>
          <w:tcPr>
            <w:tcW w:type="dxa" w:w="6826"/>
            <w:tcMar>
              <w:top w:type="dxa" w:w="55"/>
              <w:left w:type="dxa" w:w="85"/>
              <w:bottom w:type="dxa" w:w="55"/>
              <w:right w:type="dxa" w:w="85"/>
            </w:tcMar>
          </w:tcPr>
          <w:p>
            <w:pPr>
              <w:spacing w:after="0" w:line="235"/>
            </w:pPr>
            <w:r>
              <w:rPr>
                <w:rFonts w:ascii="Calibri" w:cs="Calibri" w:eastAsia="Calibri" w:hAnsi="Calibri"/>
                <w:sz w:val="17"/>
                <w:szCs w:val="17"/>
              </w:rPr>
              <w:t xml:space="preserve">________________________</w:t>
            </w:r>
          </w:p>
        </w:tc>
      </w:tr>
      <w:tr>
        <w:tc>
          <w:tcPr>
            <w:tcW w:type="dxa" w:w="2200"/>
            <w:shd w:val="clear" w:color="auto" w:fill="F2F5FA"/>
            <w:tcMar>
              <w:top w:type="dxa" w:w="55"/>
              <w:left w:type="dxa" w:w="85"/>
              <w:bottom w:type="dxa" w:w="55"/>
              <w:right w:type="dxa" w:w="85"/>
            </w:tcMar>
          </w:tcPr>
          <w:p>
            <w:pPr>
              <w:spacing w:after="0" w:line="235"/>
            </w:pPr>
            <w:r>
              <w:rPr>
                <w:rFonts w:ascii="Calibri" w:cs="Calibri" w:eastAsia="Calibri" w:hAnsi="Calibri"/>
                <w:b/>
                <w:bCs/>
                <w:sz w:val="17"/>
                <w:szCs w:val="17"/>
              </w:rPr>
              <w:t xml:space="preserve">Approved by</w:t>
            </w:r>
          </w:p>
        </w:tc>
        <w:tc>
          <w:tcPr>
            <w:tcW w:type="dxa" w:w="6826"/>
            <w:tcMar>
              <w:top w:type="dxa" w:w="55"/>
              <w:left w:type="dxa" w:w="85"/>
              <w:bottom w:type="dxa" w:w="55"/>
              <w:right w:type="dxa" w:w="85"/>
            </w:tcMar>
          </w:tcPr>
          <w:p>
            <w:pPr>
              <w:spacing w:after="0" w:line="235"/>
            </w:pPr>
            <w:r>
              <w:rPr>
                <w:rFonts w:ascii="Calibri" w:cs="Calibri" w:eastAsia="Calibri" w:hAnsi="Calibri"/>
                <w:sz w:val="17"/>
                <w:szCs w:val="17"/>
              </w:rPr>
              <w:t xml:space="preserve">________________________</w:t>
            </w:r>
          </w:p>
        </w:tc>
      </w:tr>
    </w:tbl>
    <w:p>
      <w:pPr>
        <w:spacing w:after="100" w:before="0" w:line="245"/>
      </w:pPr>
    </w:p>
    <w:p>
      <w:pPr>
        <w:pStyle w:val="Heading1"/>
        <w:spacing w:after="120" w:before="260"/>
      </w:pPr>
      <w:r>
        <w:rPr>
          <w:rFonts w:ascii="Calibri" w:cs="Calibri" w:eastAsia="Calibri" w:hAnsi="Calibri"/>
          <w:b/>
          <w:bCs/>
          <w:color w:val="1F3864"/>
          <w:sz w:val="24"/>
          <w:szCs w:val="24"/>
        </w:rPr>
        <w:t xml:space="preserve">1  TASK AND SCOPE</w:t>
      </w:r>
    </w:p>
    <w:p>
      <w:pPr>
        <w:spacing w:after="60" w:before="0" w:line="245"/>
      </w:pPr>
      <w:r>
        <w:rPr>
          <w:rFonts w:ascii="Calibri" w:cs="Calibri" w:eastAsia="Calibri" w:hAnsi="Calibri"/>
          <w:sz w:val="17"/>
          <w:szCs w:val="17"/>
        </w:rPr>
        <w:t xml:space="preserve">Determine the true specific gravity of a dry solid by pycnometer.</w:t>
      </w:r>
    </w:p>
    <w:p>
      <w:pPr>
        <w:spacing w:after="60" w:before="0" w:line="245"/>
      </w:pPr>
      <w:r>
        <w:rPr>
          <w:rFonts w:ascii="Calibri" w:cs="Calibri" w:eastAsia="Calibri" w:hAnsi="Calibri"/>
          <w:sz w:val="17"/>
          <w:szCs w:val="17"/>
        </w:rPr>
        <w:t xml:space="preserve">Every Marcy scale reading and every volumetric inventory depends on the solids SG being right.</w:t>
      </w:r>
    </w:p>
    <w:p>
      <w:pPr>
        <w:spacing w:after="60" w:before="0" w:line="245"/>
      </w:pPr>
      <w:r>
        <w:rPr>
          <w:rFonts w:ascii="Calibri" w:cs="Calibri" w:eastAsia="Calibri" w:hAnsi="Calibri"/>
          <w:sz w:val="17"/>
          <w:szCs w:val="17"/>
        </w:rPr>
        <w:t xml:space="preserve">Points and equipment covered:</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6426"/>
      </w:tblGrid>
      <w:tr>
        <w:trPr>
          <w:tblHeader/>
        </w:trPr>
        <w:tc>
          <w:tcPr>
            <w:tcW w:type="dxa" w:w="2600"/>
            <w:shd w:val="clear" w:color="auto" w:fill="1F3864"/>
            <w:tcMar>
              <w:top w:type="dxa" w:w="55"/>
              <w:left w:type="dxa" w:w="85"/>
              <w:bottom w:type="dxa" w:w="55"/>
              <w:right w:type="dxa" w:w="85"/>
            </w:tcMar>
          </w:tcPr>
          <w:p>
            <w:pPr>
              <w:spacing w:after="0" w:line="235"/>
            </w:pPr>
            <w:r>
              <w:rPr>
                <w:rFonts w:ascii="Calibri" w:cs="Calibri" w:eastAsia="Calibri" w:hAnsi="Calibri"/>
                <w:b/>
                <w:bCs/>
                <w:color w:val="FFFFFF"/>
                <w:sz w:val="16"/>
                <w:szCs w:val="16"/>
              </w:rPr>
              <w:t xml:space="preserve">Tag / point</w:t>
            </w:r>
          </w:p>
        </w:tc>
        <w:tc>
          <w:tcPr>
            <w:tcW w:type="dxa" w:w="6426"/>
            <w:shd w:val="clear" w:color="auto" w:fill="1F3864"/>
            <w:tcMar>
              <w:top w:type="dxa" w:w="55"/>
              <w:left w:type="dxa" w:w="85"/>
              <w:bottom w:type="dxa" w:w="55"/>
              <w:right w:type="dxa" w:w="85"/>
            </w:tcMar>
          </w:tcPr>
          <w:p>
            <w:pPr>
              <w:spacing w:after="0" w:line="235"/>
            </w:pPr>
            <w:r>
              <w:rPr>
                <w:rFonts w:ascii="Calibri" w:cs="Calibri" w:eastAsia="Calibri" w:hAnsi="Calibri"/>
                <w:b/>
                <w:bCs/>
                <w:color w:val="FFFFFF"/>
                <w:sz w:val="16"/>
                <w:szCs w:val="16"/>
              </w:rPr>
              <w:t xml:space="preserve">Description</w:t>
            </w:r>
          </w:p>
        </w:tc>
      </w:tr>
      <w:tr>
        <w:tc>
          <w:tcPr>
            <w:tcW w:type="dxa" w:w="2600"/>
            <w:tcMar>
              <w:top w:type="dxa" w:w="55"/>
              <w:left w:type="dxa" w:w="85"/>
              <w:bottom w:type="dxa" w:w="55"/>
              <w:right w:type="dxa" w:w="85"/>
            </w:tcMar>
          </w:tcPr>
          <w:p>
            <w:pPr>
              <w:spacing w:after="0" w:line="235"/>
            </w:pPr>
            <w:r>
              <w:rPr>
                <w:rFonts w:ascii="Calibri" w:cs="Calibri" w:eastAsia="Calibri" w:hAnsi="Calibri"/>
                <w:sz w:val="16"/>
                <w:szCs w:val="16"/>
              </w:rPr>
              <w:t xml:space="preserve">Met lab bench</w:t>
            </w:r>
          </w:p>
        </w:tc>
        <w:tc>
          <w:tcPr>
            <w:tcW w:type="dxa" w:w="6426"/>
            <w:tcMar>
              <w:top w:type="dxa" w:w="55"/>
              <w:left w:type="dxa" w:w="85"/>
              <w:bottom w:type="dxa" w:w="55"/>
              <w:right w:type="dxa" w:w="85"/>
            </w:tcMar>
          </w:tcPr>
          <w:p>
            <w:pPr>
              <w:spacing w:after="0" w:line="235"/>
            </w:pPr>
            <w:r>
              <w:rPr>
                <w:rFonts w:ascii="Calibri" w:cs="Calibri" w:eastAsia="Calibri" w:hAnsi="Calibri"/>
                <w:sz w:val="16"/>
                <w:szCs w:val="16"/>
              </w:rPr>
              <w:t xml:space="preserve">Physical testwork bench and instrument</w:t>
            </w:r>
          </w:p>
        </w:tc>
      </w:tr>
    </w:tbl>
    <w:p>
      <w:pPr>
        <w:spacing w:after="60" w:before="0" w:line="245"/>
      </w:pPr>
    </w:p>
    <w:p>
      <w:pPr>
        <w:spacing w:after="60" w:before="0" w:line="245"/>
      </w:pPr>
      <w:r>
        <w:rPr>
          <w:rFonts w:ascii="Calibri" w:cs="Calibri" w:eastAsia="Calibri" w:hAnsi="Calibri"/>
          <w:sz w:val="17"/>
          <w:szCs w:val="17"/>
        </w:rPr>
        <w:t xml:space="preserve">Frequency: On each new ore type, and quarterly on plant feed.</w:t>
      </w:r>
    </w:p>
    <w:p>
      <w:pPr>
        <w:spacing w:after="60" w:before="0" w:line="245"/>
      </w:pPr>
      <w:r>
        <w:rPr>
          <w:rFonts w:ascii="Calibri" w:cs="Calibri" w:eastAsia="Calibri" w:hAnsi="Calibri"/>
          <w:sz w:val="17"/>
          <w:szCs w:val="17"/>
        </w:rPr>
        <w:t xml:space="preserve">This instruction sits under Standard Work Procedure HM-PRC-VXX-PRO208 - Metallurgical Laboratory Physical Testwork. Read that procedure before carrying out this task for the first time.</w:t>
      </w:r>
    </w:p>
    <w:p>
      <w:pPr>
        <w:spacing w:after="60" w:before="0" w:line="245"/>
      </w:pPr>
      <w:r>
        <w:rPr>
          <w:rFonts w:ascii="Calibri" w:cs="Calibri" w:eastAsia="Calibri" w:hAnsi="Calibri"/>
          <w:sz w:val="17"/>
          <w:szCs w:val="17"/>
        </w:rPr>
        <w:t xml:space="preserve">Register line: SWI-PRO-MET-204-005 in HM-MMM-WHS-REG-XXX-R00-SWI-SWMS, tab SWI-MET. The matching hazard analysis is JSEA-PRO-MET-204-005.</w:t>
      </w:r>
    </w:p>
    <w:p>
      <w:pPr>
        <w:pStyle w:val="Heading1"/>
        <w:spacing w:after="120" w:before="260"/>
      </w:pPr>
      <w:r>
        <w:rPr>
          <w:rFonts w:ascii="Calibri" w:cs="Calibri" w:eastAsia="Calibri" w:hAnsi="Calibri"/>
          <w:b/>
          <w:bCs/>
          <w:color w:val="1F3864"/>
          <w:sz w:val="24"/>
          <w:szCs w:val="24"/>
        </w:rPr>
        <w:t xml:space="preserve">2  WHO MAY DO THIS</w:t>
      </w:r>
    </w:p>
    <w:p>
      <w:pPr>
        <w:pStyle w:val="ListParagraph"/>
        <w:numPr>
          <w:ilvl w:val="0"/>
          <w:numId w:val="1"/>
        </w:numPr>
        <w:spacing w:after="60" w:line="245"/>
      </w:pPr>
      <w:r>
        <w:rPr>
          <w:rFonts w:ascii="Calibri" w:cs="Calibri" w:eastAsia="Calibri" w:hAnsi="Calibri"/>
          <w:sz w:val="17"/>
          <w:szCs w:val="17"/>
        </w:rPr>
        <w:t xml:space="preserve">Trained and signed off against this instruction.</w:t>
      </w:r>
    </w:p>
    <w:p>
      <w:pPr>
        <w:pStyle w:val="ListParagraph"/>
        <w:numPr>
          <w:ilvl w:val="0"/>
          <w:numId w:val="1"/>
        </w:numPr>
        <w:spacing w:after="60" w:line="245"/>
      </w:pPr>
      <w:r>
        <w:rPr>
          <w:rFonts w:ascii="Calibri" w:cs="Calibri" w:eastAsia="Calibri" w:hAnsi="Calibri"/>
          <w:sz w:val="17"/>
          <w:szCs w:val="17"/>
        </w:rPr>
        <w:t xml:space="preserve">Signed on to JSEA JSEA-PRO-MET-204-005 at a communication session.</w:t>
      </w:r>
    </w:p>
    <w:p>
      <w:pPr>
        <w:pStyle w:val="ListParagraph"/>
        <w:numPr>
          <w:ilvl w:val="0"/>
          <w:numId w:val="1"/>
        </w:numPr>
        <w:spacing w:after="60" w:line="245"/>
      </w:pPr>
      <w:r>
        <w:rPr>
          <w:rFonts w:ascii="Calibri" w:cs="Calibri" w:eastAsia="Calibri" w:hAnsi="Calibri"/>
          <w:sz w:val="17"/>
          <w:szCs w:val="17"/>
        </w:rPr>
        <w:t xml:space="preserve">Site inducted, with current cyanide awareness and gas detection competency where the area requires it.</w:t>
      </w:r>
    </w:p>
    <w:p>
      <w:pPr>
        <w:pStyle w:val="ListParagraph"/>
        <w:numPr>
          <w:ilvl w:val="0"/>
          <w:numId w:val="1"/>
        </w:numPr>
        <w:spacing w:after="60" w:line="245"/>
      </w:pPr>
      <w:r>
        <w:rPr>
          <w:rFonts w:ascii="Calibri" w:cs="Calibri" w:eastAsia="Calibri" w:hAnsi="Calibri"/>
          <w:sz w:val="17"/>
          <w:szCs w:val="17"/>
        </w:rPr>
        <w:t xml:space="preserve">Authorised by the Shift Supervisor before the task starts.</w:t>
      </w:r>
    </w:p>
    <w:p>
      <w:pPr>
        <w:pStyle w:val="Heading1"/>
        <w:spacing w:after="120" w:before="260"/>
      </w:pPr>
      <w:r>
        <w:rPr>
          <w:rFonts w:ascii="Calibri" w:cs="Calibri" w:eastAsia="Calibri" w:hAnsi="Calibri"/>
          <w:b/>
          <w:bCs/>
          <w:color w:val="1F3864"/>
          <w:sz w:val="24"/>
          <w:szCs w:val="24"/>
        </w:rPr>
        <w:t xml:space="preserve">3  HAZARDS SPECIFIC TO THIS TASK</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900"/>
        <w:gridCol w:w="6126"/>
      </w:tblGrid>
      <w:tr>
        <w:trPr>
          <w:tblHeader/>
        </w:trPr>
        <w:tc>
          <w:tcPr>
            <w:tcW w:type="dxa" w:w="2900"/>
            <w:shd w:val="clear" w:color="auto" w:fill="1F3864"/>
            <w:tcMar>
              <w:top w:type="dxa" w:w="55"/>
              <w:left w:type="dxa" w:w="85"/>
              <w:bottom w:type="dxa" w:w="55"/>
              <w:right w:type="dxa" w:w="85"/>
            </w:tcMar>
          </w:tcPr>
          <w:p>
            <w:pPr>
              <w:spacing w:after="0" w:line="235"/>
            </w:pPr>
            <w:r>
              <w:rPr>
                <w:rFonts w:ascii="Calibri" w:cs="Calibri" w:eastAsia="Calibri" w:hAnsi="Calibri"/>
                <w:b/>
                <w:bCs/>
                <w:color w:val="FFFFFF"/>
                <w:sz w:val="16"/>
                <w:szCs w:val="16"/>
              </w:rPr>
              <w:t xml:space="preserve">Hazard</w:t>
            </w:r>
          </w:p>
        </w:tc>
        <w:tc>
          <w:tcPr>
            <w:tcW w:type="dxa" w:w="6126"/>
            <w:shd w:val="clear" w:color="auto" w:fill="1F3864"/>
            <w:tcMar>
              <w:top w:type="dxa" w:w="55"/>
              <w:left w:type="dxa" w:w="85"/>
              <w:bottom w:type="dxa" w:w="55"/>
              <w:right w:type="dxa" w:w="85"/>
            </w:tcMar>
          </w:tcPr>
          <w:p>
            <w:pPr>
              <w:spacing w:after="0" w:line="235"/>
            </w:pPr>
            <w:r>
              <w:rPr>
                <w:rFonts w:ascii="Calibri" w:cs="Calibri" w:eastAsia="Calibri" w:hAnsi="Calibri"/>
                <w:b/>
                <w:bCs/>
                <w:color w:val="FFFFFF"/>
                <w:sz w:val="16"/>
                <w:szCs w:val="16"/>
              </w:rPr>
              <w:t xml:space="preserve">Control</w:t>
            </w:r>
          </w:p>
        </w:tc>
      </w:tr>
      <w:tr>
        <w:tc>
          <w:tcPr>
            <w:tcW w:type="dxa" w:w="2900"/>
            <w:tcMar>
              <w:top w:type="dxa" w:w="55"/>
              <w:left w:type="dxa" w:w="85"/>
              <w:bottom w:type="dxa" w:w="55"/>
              <w:right w:type="dxa" w:w="85"/>
            </w:tcMar>
          </w:tcPr>
          <w:p>
            <w:pPr>
              <w:spacing w:after="0" w:line="235"/>
            </w:pPr>
            <w:r>
              <w:rPr>
                <w:rFonts w:ascii="Calibri" w:cs="Calibri" w:eastAsia="Calibri" w:hAnsi="Calibri"/>
                <w:sz w:val="16"/>
                <w:szCs w:val="16"/>
              </w:rPr>
              <w:t xml:space="preserve">Cuts from broken glassware, and burns from hot glassware</w:t>
            </w:r>
          </w:p>
        </w:tc>
        <w:tc>
          <w:tcPr>
            <w:tcW w:type="dxa" w:w="6126"/>
            <w:tcMar>
              <w:top w:type="dxa" w:w="55"/>
              <w:left w:type="dxa" w:w="85"/>
              <w:bottom w:type="dxa" w:w="55"/>
              <w:right w:type="dxa" w:w="85"/>
            </w:tcMar>
          </w:tcPr>
          <w:p>
            <w:pPr>
              <w:spacing w:after="0" w:line="235"/>
            </w:pPr>
            <w:r>
              <w:rPr>
                <w:rFonts w:ascii="Calibri" w:cs="Calibri" w:eastAsia="Calibri" w:hAnsi="Calibri"/>
                <w:sz w:val="16"/>
                <w:szCs w:val="16"/>
              </w:rPr>
              <w:t xml:space="preserve">Glassware inspected for chips and cracks before use and discarded if damaged. Hot glassware handled with tongs or heat-resistant gloves and set down on a heat mat. Broken glass to the sharps bin, never to the general waste or by hand.</w:t>
            </w:r>
          </w:p>
        </w:tc>
      </w:tr>
      <w:tr>
        <w:tc>
          <w:tcPr>
            <w:tcW w:type="dxa" w:w="2900"/>
            <w:shd w:val="clear" w:color="auto" w:fill="F2F5FA"/>
            <w:tcMar>
              <w:top w:type="dxa" w:w="55"/>
              <w:left w:type="dxa" w:w="85"/>
              <w:bottom w:type="dxa" w:w="55"/>
              <w:right w:type="dxa" w:w="85"/>
            </w:tcMar>
          </w:tcPr>
          <w:p>
            <w:pPr>
              <w:spacing w:after="0" w:line="235"/>
            </w:pPr>
            <w:r>
              <w:rPr>
                <w:rFonts w:ascii="Calibri" w:cs="Calibri" w:eastAsia="Calibri" w:hAnsi="Calibri"/>
                <w:sz w:val="16"/>
                <w:szCs w:val="16"/>
              </w:rPr>
              <w:t xml:space="preserve">Cross-contamination from a container or cutter not cleaned between points</w:t>
            </w:r>
          </w:p>
        </w:tc>
        <w:tc>
          <w:tcPr>
            <w:tcW w:type="dxa" w:w="6126"/>
            <w:shd w:val="clear" w:color="auto" w:fill="F2F5FA"/>
            <w:tcMar>
              <w:top w:type="dxa" w:w="55"/>
              <w:left w:type="dxa" w:w="85"/>
              <w:bottom w:type="dxa" w:w="55"/>
              <w:right w:type="dxa" w:w="85"/>
            </w:tcMar>
          </w:tcPr>
          <w:p>
            <w:pPr>
              <w:spacing w:after="0" w:line="235"/>
            </w:pPr>
            <w:r>
              <w:rPr>
                <w:rFonts w:ascii="Calibri" w:cs="Calibri" w:eastAsia="Calibri" w:hAnsi="Calibri"/>
                <w:sz w:val="16"/>
                <w:szCs w:val="16"/>
              </w:rPr>
              <w:t xml:space="preserve">Bucket, container, cutter and sieve rinsed with process water and then with the stream being sampled, and the rinse discarded, before every sample. Dedicated containers for high-grade streams. Labels checked against the schedule before handover.</w:t>
            </w:r>
          </w:p>
        </w:tc>
      </w:tr>
      <w:tr>
        <w:tc>
          <w:tcPr>
            <w:tcW w:type="dxa" w:w="2900"/>
            <w:tcMar>
              <w:top w:type="dxa" w:w="55"/>
              <w:left w:type="dxa" w:w="85"/>
              <w:bottom w:type="dxa" w:w="55"/>
              <w:right w:type="dxa" w:w="85"/>
            </w:tcMar>
          </w:tcPr>
          <w:p>
            <w:pPr>
              <w:spacing w:after="0" w:line="235"/>
            </w:pPr>
            <w:r>
              <w:rPr>
                <w:rFonts w:ascii="Calibri" w:cs="Calibri" w:eastAsia="Calibri" w:hAnsi="Calibri"/>
                <w:sz w:val="16"/>
                <w:szCs w:val="16"/>
              </w:rPr>
              <w:t xml:space="preserve">Inhalation of or contact with solid reagent - cyanide briquettes, lime or salt</w:t>
            </w:r>
          </w:p>
        </w:tc>
        <w:tc>
          <w:tcPr>
            <w:tcW w:type="dxa" w:w="6126"/>
            <w:tcMar>
              <w:top w:type="dxa" w:w="55"/>
              <w:left w:type="dxa" w:w="85"/>
              <w:bottom w:type="dxa" w:w="55"/>
              <w:right w:type="dxa" w:w="85"/>
            </w:tcMar>
          </w:tcPr>
          <w:p>
            <w:pPr>
              <w:spacing w:after="0" w:line="235"/>
            </w:pPr>
            <w:r>
              <w:rPr>
                <w:rFonts w:ascii="Calibri" w:cs="Calibri" w:eastAsia="Calibri" w:hAnsi="Calibri"/>
                <w:sz w:val="16"/>
                <w:szCs w:val="16"/>
              </w:rPr>
              <w:t xml:space="preserve">Sampling of solid cyanide done only with the full cyanide PPE set including a gas mask with an A2B2E2K2P3 cartridge. Dust suppression and local extraction confirmed running. No dry sweeping.</w:t>
            </w:r>
          </w:p>
        </w:tc>
      </w:tr>
      <w:tr>
        <w:tc>
          <w:tcPr>
            <w:tcW w:type="dxa" w:w="2900"/>
            <w:shd w:val="clear" w:color="auto" w:fill="F2F5FA"/>
            <w:tcMar>
              <w:top w:type="dxa" w:w="55"/>
              <w:left w:type="dxa" w:w="85"/>
              <w:bottom w:type="dxa" w:w="55"/>
              <w:right w:type="dxa" w:w="85"/>
            </w:tcMar>
          </w:tcPr>
          <w:p>
            <w:pPr>
              <w:spacing w:after="0" w:line="235"/>
            </w:pPr>
            <w:r>
              <w:rPr>
                <w:rFonts w:ascii="Calibri" w:cs="Calibri" w:eastAsia="Calibri" w:hAnsi="Calibri"/>
                <w:sz w:val="16"/>
                <w:szCs w:val="16"/>
              </w:rPr>
              <w:t xml:space="preserve">Non-representative sample leading to a wrong process decision</w:t>
            </w:r>
          </w:p>
        </w:tc>
        <w:tc>
          <w:tcPr>
            <w:tcW w:type="dxa" w:w="6126"/>
            <w:shd w:val="clear" w:color="auto" w:fill="F2F5FA"/>
            <w:tcMar>
              <w:top w:type="dxa" w:w="55"/>
              <w:left w:type="dxa" w:w="85"/>
              <w:bottom w:type="dxa" w:w="55"/>
              <w:right w:type="dxa" w:w="85"/>
            </w:tcMar>
          </w:tcPr>
          <w:p>
            <w:pPr>
              <w:spacing w:after="0" w:line="235"/>
            </w:pPr>
            <w:r>
              <w:rPr>
                <w:rFonts w:ascii="Calibri" w:cs="Calibri" w:eastAsia="Calibri" w:hAnsi="Calibri"/>
                <w:sz w:val="16"/>
                <w:szCs w:val="16"/>
              </w:rPr>
              <w:t xml:space="preserve">Line flushed for the stated time before collecting. Sample taken at the same point, in the same way and at the same frequency every time. Container labelled BEFORE the sample is taken, with point, date, time and shift. Steady-state confirmed for 15 to 20 minutes before sampling. A sample taken off-condition is marked as such or discarded.</w:t>
            </w:r>
          </w:p>
        </w:tc>
      </w:tr>
    </w:tbl>
    <w:p>
      <w:pPr>
        <w:spacing w:after="60" w:before="0" w:line="245"/>
      </w:pPr>
    </w:p>
    <w:p>
      <w:pPr>
        <w:spacing w:after="60" w:before="0" w:line="245"/>
      </w:pPr>
      <w:r>
        <w:rPr>
          <w:rFonts w:ascii="Calibri" w:cs="Calibri" w:eastAsia="Calibri" w:hAnsi="Calibri"/>
          <w:i/>
          <w:iCs/>
          <w:sz w:val="17"/>
          <w:szCs w:val="17"/>
        </w:rPr>
        <w:t xml:space="preserve">The full step-by-step hazard analysis, with the risk ranking, is in JSEA JSEA-PRO-MET-204-005 Section 4.</w:t>
      </w:r>
    </w:p>
    <w:p>
      <w:pPr>
        <w:pStyle w:val="Heading1"/>
        <w:spacing w:after="120" w:before="260"/>
      </w:pPr>
      <w:r>
        <w:rPr>
          <w:rFonts w:ascii="Calibri" w:cs="Calibri" w:eastAsia="Calibri" w:hAnsi="Calibri"/>
          <w:b/>
          <w:bCs/>
          <w:color w:val="1F3864"/>
          <w:sz w:val="24"/>
          <w:szCs w:val="24"/>
        </w:rPr>
        <w:t xml:space="preserve">4  PPE</w:t>
      </w:r>
    </w:p>
    <w:p>
      <w:pPr>
        <w:pStyle w:val="ListParagraph"/>
        <w:numPr>
          <w:ilvl w:val="0"/>
          <w:numId w:val="1"/>
        </w:numPr>
        <w:spacing w:after="60" w:line="245"/>
      </w:pPr>
      <w:r>
        <w:rPr>
          <w:rFonts w:ascii="Calibri" w:cs="Calibri" w:eastAsia="Calibri" w:hAnsi="Calibri"/>
          <w:sz w:val="17"/>
          <w:szCs w:val="17"/>
        </w:rPr>
        <w:t xml:space="preserve">Hard hat</w:t>
      </w:r>
    </w:p>
    <w:p>
      <w:pPr>
        <w:pStyle w:val="ListParagraph"/>
        <w:numPr>
          <w:ilvl w:val="0"/>
          <w:numId w:val="1"/>
        </w:numPr>
        <w:spacing w:after="60" w:line="245"/>
      </w:pPr>
      <w:r>
        <w:rPr>
          <w:rFonts w:ascii="Calibri" w:cs="Calibri" w:eastAsia="Calibri" w:hAnsi="Calibri"/>
          <w:sz w:val="17"/>
          <w:szCs w:val="17"/>
        </w:rPr>
        <w:t xml:space="preserve">Safety glasses</w:t>
      </w:r>
    </w:p>
    <w:p>
      <w:pPr>
        <w:pStyle w:val="ListParagraph"/>
        <w:numPr>
          <w:ilvl w:val="0"/>
          <w:numId w:val="1"/>
        </w:numPr>
        <w:spacing w:after="60" w:line="245"/>
      </w:pPr>
      <w:r>
        <w:rPr>
          <w:rFonts w:ascii="Calibri" w:cs="Calibri" w:eastAsia="Calibri" w:hAnsi="Calibri"/>
          <w:sz w:val="17"/>
          <w:szCs w:val="17"/>
        </w:rPr>
        <w:t xml:space="preserve">High-visibility long-sleeved shirt and long trousers</w:t>
      </w:r>
    </w:p>
    <w:p>
      <w:pPr>
        <w:pStyle w:val="ListParagraph"/>
        <w:numPr>
          <w:ilvl w:val="0"/>
          <w:numId w:val="1"/>
        </w:numPr>
        <w:spacing w:after="60" w:line="245"/>
      </w:pPr>
      <w:r>
        <w:rPr>
          <w:rFonts w:ascii="Calibri" w:cs="Calibri" w:eastAsia="Calibri" w:hAnsi="Calibri"/>
          <w:sz w:val="17"/>
          <w:szCs w:val="17"/>
        </w:rPr>
        <w:t xml:space="preserve">Safety boots</w:t>
      </w:r>
    </w:p>
    <w:p>
      <w:pPr>
        <w:pStyle w:val="ListParagraph"/>
        <w:numPr>
          <w:ilvl w:val="0"/>
          <w:numId w:val="1"/>
        </w:numPr>
        <w:spacing w:after="60" w:line="245"/>
      </w:pPr>
      <w:r>
        <w:rPr>
          <w:rFonts w:ascii="Calibri" w:cs="Calibri" w:eastAsia="Calibri" w:hAnsi="Calibri"/>
          <w:sz w:val="17"/>
          <w:szCs w:val="17"/>
        </w:rPr>
        <w:t xml:space="preserve">Gloves appropriate to the task</w:t>
      </w:r>
    </w:p>
    <w:p>
      <w:pPr>
        <w:pStyle w:val="ListParagraph"/>
        <w:numPr>
          <w:ilvl w:val="0"/>
          <w:numId w:val="1"/>
        </w:numPr>
        <w:spacing w:after="60" w:line="245"/>
      </w:pPr>
      <w:r>
        <w:rPr>
          <w:rFonts w:ascii="Calibri" w:cs="Calibri" w:eastAsia="Calibri" w:hAnsi="Calibri"/>
          <w:sz w:val="17"/>
          <w:szCs w:val="17"/>
        </w:rPr>
        <w:t xml:space="preserve">Personal HCN gas monitor, calibrated and in test date</w:t>
      </w:r>
    </w:p>
    <w:p>
      <w:pPr>
        <w:pStyle w:val="ListParagraph"/>
        <w:numPr>
          <w:ilvl w:val="0"/>
          <w:numId w:val="1"/>
        </w:numPr>
        <w:spacing w:after="60" w:line="245"/>
      </w:pPr>
      <w:r>
        <w:rPr>
          <w:rFonts w:ascii="Calibri" w:cs="Calibri" w:eastAsia="Calibri" w:hAnsi="Calibri"/>
          <w:sz w:val="17"/>
          <w:szCs w:val="17"/>
        </w:rPr>
        <w:t xml:space="preserve">Chemical splash goggles and face shield</w:t>
      </w:r>
    </w:p>
    <w:p>
      <w:pPr>
        <w:pStyle w:val="ListParagraph"/>
        <w:numPr>
          <w:ilvl w:val="0"/>
          <w:numId w:val="1"/>
        </w:numPr>
        <w:spacing w:after="60" w:line="245"/>
      </w:pPr>
      <w:r>
        <w:rPr>
          <w:rFonts w:ascii="Calibri" w:cs="Calibri" w:eastAsia="Calibri" w:hAnsi="Calibri"/>
          <w:sz w:val="17"/>
          <w:szCs w:val="17"/>
        </w:rPr>
        <w:t xml:space="preserve">Nitrile rubber gloves</w:t>
      </w:r>
    </w:p>
    <w:p>
      <w:pPr>
        <w:pStyle w:val="ListParagraph"/>
        <w:numPr>
          <w:ilvl w:val="0"/>
          <w:numId w:val="1"/>
        </w:numPr>
        <w:spacing w:after="60" w:line="245"/>
      </w:pPr>
      <w:r>
        <w:rPr>
          <w:rFonts w:ascii="Calibri" w:cs="Calibri" w:eastAsia="Calibri" w:hAnsi="Calibri"/>
          <w:sz w:val="17"/>
          <w:szCs w:val="17"/>
        </w:rPr>
        <w:t xml:space="preserve">Nitrile PVC boots</w:t>
      </w:r>
    </w:p>
    <w:p>
      <w:pPr>
        <w:pStyle w:val="ListParagraph"/>
        <w:numPr>
          <w:ilvl w:val="0"/>
          <w:numId w:val="1"/>
        </w:numPr>
        <w:spacing w:after="60" w:line="245"/>
      </w:pPr>
      <w:r>
        <w:rPr>
          <w:rFonts w:ascii="Calibri" w:cs="Calibri" w:eastAsia="Calibri" w:hAnsi="Calibri"/>
          <w:sz w:val="17"/>
          <w:szCs w:val="17"/>
        </w:rPr>
        <w:t xml:space="preserve">Chemical resistant suit</w:t>
      </w:r>
    </w:p>
    <w:p>
      <w:pPr>
        <w:pStyle w:val="ListParagraph"/>
        <w:numPr>
          <w:ilvl w:val="0"/>
          <w:numId w:val="1"/>
        </w:numPr>
        <w:spacing w:after="60" w:line="245"/>
      </w:pPr>
      <w:r>
        <w:rPr>
          <w:rFonts w:ascii="Calibri" w:cs="Calibri" w:eastAsia="Calibri" w:hAnsi="Calibri"/>
          <w:sz w:val="17"/>
          <w:szCs w:val="17"/>
        </w:rPr>
        <w:t xml:space="preserve">Full or half gas mask with A2B2E2K2P3 cartridge, carried and available for immediate use</w:t>
      </w:r>
    </w:p>
    <w:p>
      <w:pPr>
        <w:pStyle w:val="Heading1"/>
        <w:spacing w:after="120" w:before="260"/>
      </w:pPr>
      <w:r>
        <w:rPr>
          <w:rFonts w:ascii="Calibri" w:cs="Calibri" w:eastAsia="Calibri" w:hAnsi="Calibri"/>
          <w:b/>
          <w:bCs/>
          <w:color w:val="1F3864"/>
          <w:sz w:val="24"/>
          <w:szCs w:val="24"/>
        </w:rPr>
        <w:t xml:space="preserve">5  BEFORE YOU START</w:t>
      </w:r>
    </w:p>
    <w:p>
      <w:pPr>
        <w:spacing w:after="60" w:before="0" w:line="245"/>
      </w:pPr>
      <w:r>
        <w:rPr>
          <w:rFonts w:ascii="Calibri" w:cs="Calibri" w:eastAsia="Calibri" w:hAnsi="Calibri"/>
          <w:sz w:val="17"/>
          <w:szCs w:val="17"/>
        </w:rPr>
        <w:t xml:space="preserve">Every item below must be true. If one is not, stop and report it.</w:t>
      </w:r>
    </w:p>
    <w:p>
      <w:pPr>
        <w:pStyle w:val="ListParagraph"/>
        <w:numPr>
          <w:ilvl w:val="0"/>
          <w:numId w:val="1"/>
        </w:numPr>
        <w:spacing w:after="60" w:line="245"/>
      </w:pPr>
      <w:r>
        <w:rPr>
          <w:rFonts w:ascii="Calibri" w:cs="Calibri" w:eastAsia="Calibri" w:hAnsi="Calibri"/>
          <w:sz w:val="17"/>
          <w:szCs w:val="17"/>
        </w:rPr>
        <w:t xml:space="preserve">Confirm the fume cupboard airflow, the scrubber and its dosing are running before any acid or cyanide work at the bench.</w:t>
      </w:r>
    </w:p>
    <w:p>
      <w:pPr>
        <w:pStyle w:val="ListParagraph"/>
        <w:numPr>
          <w:ilvl w:val="0"/>
          <w:numId w:val="1"/>
        </w:numPr>
        <w:spacing w:after="60" w:line="245"/>
      </w:pPr>
      <w:r>
        <w:rPr>
          <w:rFonts w:ascii="Calibri" w:cs="Calibri" w:eastAsia="Calibri" w:hAnsi="Calibri"/>
          <w:sz w:val="17"/>
          <w:szCs w:val="17"/>
        </w:rPr>
        <w:t xml:space="preserve">Confirm the safety shower and eyewash are within reach and proven flowing.</w:t>
      </w:r>
    </w:p>
    <w:p>
      <w:pPr>
        <w:pStyle w:val="ListParagraph"/>
        <w:numPr>
          <w:ilvl w:val="0"/>
          <w:numId w:val="1"/>
        </w:numPr>
        <w:spacing w:after="60" w:line="245"/>
      </w:pPr>
      <w:r>
        <w:rPr>
          <w:rFonts w:ascii="Calibri" w:cs="Calibri" w:eastAsia="Calibri" w:hAnsi="Calibri"/>
          <w:sz w:val="17"/>
          <w:szCs w:val="17"/>
        </w:rPr>
        <w:t xml:space="preserve">Confirm the instrument or balance is within its calibration or verification interval.</w:t>
      </w:r>
    </w:p>
    <w:p>
      <w:pPr>
        <w:pStyle w:val="ListParagraph"/>
        <w:numPr>
          <w:ilvl w:val="0"/>
          <w:numId w:val="1"/>
        </w:numPr>
        <w:spacing w:after="60" w:line="245"/>
      </w:pPr>
      <w:r>
        <w:rPr>
          <w:rFonts w:ascii="Calibri" w:cs="Calibri" w:eastAsia="Calibri" w:hAnsi="Calibri"/>
          <w:sz w:val="17"/>
          <w:szCs w:val="17"/>
        </w:rPr>
        <w:t xml:space="preserve">Confirm the reagents to be used are in date and correctly labelled.</w:t>
      </w:r>
    </w:p>
    <w:p>
      <w:pPr>
        <w:pStyle w:val="ListParagraph"/>
        <w:numPr>
          <w:ilvl w:val="0"/>
          <w:numId w:val="1"/>
        </w:numPr>
        <w:spacing w:after="60" w:line="245"/>
      </w:pPr>
      <w:r>
        <w:rPr>
          <w:rFonts w:ascii="Calibri" w:cs="Calibri" w:eastAsia="Calibri" w:hAnsi="Calibri"/>
          <w:sz w:val="17"/>
          <w:szCs w:val="17"/>
        </w:rPr>
        <w:t xml:space="preserve">Inspect all glassware for chips and cracks and discard anything damaged.</w:t>
      </w:r>
    </w:p>
    <w:p>
      <w:pPr>
        <w:spacing w:after="60" w:before="0" w:line="245"/>
      </w:pPr>
      <w:r>
        <w:rPr>
          <w:rFonts w:ascii="Calibri" w:cs="Calibri" w:eastAsia="Calibri" w:hAnsi="Calibri"/>
          <w:sz w:val="17"/>
          <w:szCs w:val="17"/>
        </w:rPr>
        <w:t xml:space="preserve">Equipment required:</w:t>
      </w:r>
    </w:p>
    <w:p>
      <w:pPr>
        <w:pStyle w:val="ListParagraph"/>
        <w:numPr>
          <w:ilvl w:val="0"/>
          <w:numId w:val="1"/>
        </w:numPr>
        <w:spacing w:after="60" w:line="245"/>
      </w:pPr>
      <w:r>
        <w:rPr>
          <w:rFonts w:ascii="Calibri" w:cs="Calibri" w:eastAsia="Calibri" w:hAnsi="Calibri"/>
          <w:sz w:val="17"/>
          <w:szCs w:val="17"/>
        </w:rPr>
        <w:t xml:space="preserve">Pycnometer</w:t>
      </w:r>
    </w:p>
    <w:p>
      <w:pPr>
        <w:pStyle w:val="ListParagraph"/>
        <w:numPr>
          <w:ilvl w:val="0"/>
          <w:numId w:val="1"/>
        </w:numPr>
        <w:spacing w:after="60" w:line="245"/>
      </w:pPr>
      <w:r>
        <w:rPr>
          <w:rFonts w:ascii="Calibri" w:cs="Calibri" w:eastAsia="Calibri" w:hAnsi="Calibri"/>
          <w:sz w:val="17"/>
          <w:szCs w:val="17"/>
        </w:rPr>
        <w:t xml:space="preserve">Analytical balance 0.1 mg</w:t>
      </w:r>
    </w:p>
    <w:p>
      <w:pPr>
        <w:pStyle w:val="ListParagraph"/>
        <w:numPr>
          <w:ilvl w:val="0"/>
          <w:numId w:val="1"/>
        </w:numPr>
        <w:spacing w:after="60" w:line="245"/>
      </w:pPr>
      <w:r>
        <w:rPr>
          <w:rFonts w:ascii="Calibri" w:cs="Calibri" w:eastAsia="Calibri" w:hAnsi="Calibri"/>
          <w:sz w:val="17"/>
          <w:szCs w:val="17"/>
        </w:rPr>
        <w:t xml:space="preserve">Distilled water</w:t>
      </w:r>
    </w:p>
    <w:p>
      <w:pPr>
        <w:pStyle w:val="ListParagraph"/>
        <w:numPr>
          <w:ilvl w:val="0"/>
          <w:numId w:val="1"/>
        </w:numPr>
        <w:spacing w:after="60" w:line="245"/>
      </w:pPr>
      <w:r>
        <w:rPr>
          <w:rFonts w:ascii="Calibri" w:cs="Calibri" w:eastAsia="Calibri" w:hAnsi="Calibri"/>
          <w:sz w:val="17"/>
          <w:szCs w:val="17"/>
        </w:rPr>
        <w:t xml:space="preserve">Drying oven</w:t>
      </w:r>
    </w:p>
    <w:p>
      <w:pPr>
        <w:pStyle w:val="ListParagraph"/>
        <w:numPr>
          <w:ilvl w:val="0"/>
          <w:numId w:val="1"/>
        </w:numPr>
        <w:spacing w:after="60" w:line="245"/>
      </w:pPr>
      <w:r>
        <w:rPr>
          <w:rFonts w:ascii="Calibri" w:cs="Calibri" w:eastAsia="Calibri" w:hAnsi="Calibri"/>
          <w:sz w:val="17"/>
          <w:szCs w:val="17"/>
        </w:rPr>
        <w:t xml:space="preserve">Desiccator</w:t>
      </w:r>
    </w:p>
    <w:p>
      <w:pPr>
        <w:pStyle w:val="ListParagraph"/>
        <w:numPr>
          <w:ilvl w:val="0"/>
          <w:numId w:val="1"/>
        </w:numPr>
        <w:spacing w:after="60" w:line="245"/>
      </w:pPr>
      <w:r>
        <w:rPr>
          <w:rFonts w:ascii="Calibri" w:cs="Calibri" w:eastAsia="Calibri" w:hAnsi="Calibri"/>
          <w:sz w:val="17"/>
          <w:szCs w:val="17"/>
        </w:rPr>
        <w:t xml:space="preserve">Thermometer</w:t>
      </w:r>
    </w:p>
    <w:p>
      <w:pPr>
        <w:pStyle w:val="Heading1"/>
        <w:spacing w:after="120" w:before="260"/>
      </w:pPr>
      <w:r>
        <w:rPr>
          <w:rFonts w:ascii="Calibri" w:cs="Calibri" w:eastAsia="Calibri" w:hAnsi="Calibri"/>
          <w:b/>
          <w:bCs/>
          <w:color w:val="1F3864"/>
          <w:sz w:val="24"/>
          <w:szCs w:val="24"/>
        </w:rPr>
        <w:t xml:space="preserve">6  STEPS</w:t>
      </w:r>
    </w:p>
    <w:p>
      <w:pPr>
        <w:ind w:left="280"/>
        <w:spacing w:after="50" w:before="0" w:line="245"/>
      </w:pPr>
      <w:r>
        <w:rPr>
          <w:rFonts w:ascii="Calibri" w:cs="Calibri" w:eastAsia="Calibri" w:hAnsi="Calibri"/>
          <w:b/>
          <w:bCs/>
          <w:sz w:val="17"/>
          <w:szCs w:val="17"/>
        </w:rPr>
        <w:t xml:space="preserve">1.</w:t>
      </w:r>
      <w:r>
        <w:rPr>
          <w:rFonts w:ascii="Calibri" w:cs="Calibri" w:eastAsia="Calibri" w:hAnsi="Calibri"/>
          <w:sz w:val="17"/>
          <w:szCs w:val="17"/>
        </w:rPr>
        <w:t xml:space="preserve">  Dry and cool the sample in the desiccator to constant mass.</w:t>
      </w:r>
    </w:p>
    <w:p>
      <w:pPr>
        <w:ind w:left="280"/>
        <w:spacing w:after="50" w:before="0" w:line="245"/>
      </w:pPr>
      <w:r>
        <w:rPr>
          <w:rFonts w:ascii="Calibri" w:cs="Calibri" w:eastAsia="Calibri" w:hAnsi="Calibri"/>
          <w:b/>
          <w:bCs/>
          <w:sz w:val="17"/>
          <w:szCs w:val="17"/>
        </w:rPr>
        <w:t xml:space="preserve">2.</w:t>
      </w:r>
      <w:r>
        <w:rPr>
          <w:rFonts w:ascii="Calibri" w:cs="Calibri" w:eastAsia="Calibri" w:hAnsi="Calibri"/>
          <w:sz w:val="17"/>
          <w:szCs w:val="17"/>
        </w:rPr>
        <w:t xml:space="preserve">  Weigh the clean dry pycnometer empty.</w:t>
      </w:r>
    </w:p>
    <w:p>
      <w:pPr>
        <w:ind w:left="280"/>
        <w:spacing w:after="50" w:before="0" w:line="245"/>
      </w:pPr>
      <w:r>
        <w:rPr>
          <w:rFonts w:ascii="Calibri" w:cs="Calibri" w:eastAsia="Calibri" w:hAnsi="Calibri"/>
          <w:b/>
          <w:bCs/>
          <w:sz w:val="17"/>
          <w:szCs w:val="17"/>
        </w:rPr>
        <w:t xml:space="preserve">3.</w:t>
      </w:r>
      <w:r>
        <w:rPr>
          <w:rFonts w:ascii="Calibri" w:cs="Calibri" w:eastAsia="Calibri" w:hAnsi="Calibri"/>
          <w:sz w:val="17"/>
          <w:szCs w:val="17"/>
        </w:rPr>
        <w:t xml:space="preserve">  Add the sample and weigh again to get the sample mass.</w:t>
      </w:r>
    </w:p>
    <w:p>
      <w:pPr>
        <w:ind w:left="280"/>
        <w:spacing w:after="50" w:before="0" w:line="245"/>
      </w:pPr>
      <w:r>
        <w:rPr>
          <w:rFonts w:ascii="Calibri" w:cs="Calibri" w:eastAsia="Calibri" w:hAnsi="Calibri"/>
          <w:b/>
          <w:bCs/>
          <w:sz w:val="17"/>
          <w:szCs w:val="17"/>
        </w:rPr>
        <w:t xml:space="preserve">4.</w:t>
      </w:r>
      <w:r>
        <w:rPr>
          <w:rFonts w:ascii="Calibri" w:cs="Calibri" w:eastAsia="Calibri" w:hAnsi="Calibri"/>
          <w:sz w:val="17"/>
          <w:szCs w:val="17"/>
        </w:rPr>
        <w:t xml:space="preserve">  Fill part way with distilled water, agitate and apply vacuum to remove entrained air. Trapped air is the main source of error in this test.</w:t>
      </w:r>
    </w:p>
    <w:p>
      <w:pPr>
        <w:ind w:left="280"/>
        <w:spacing w:after="50" w:before="0" w:line="245"/>
      </w:pPr>
      <w:r>
        <w:rPr>
          <w:rFonts w:ascii="Calibri" w:cs="Calibri" w:eastAsia="Calibri" w:hAnsi="Calibri"/>
          <w:b/>
          <w:bCs/>
          <w:sz w:val="17"/>
          <w:szCs w:val="17"/>
        </w:rPr>
        <w:t xml:space="preserve">5.</w:t>
      </w:r>
      <w:r>
        <w:rPr>
          <w:rFonts w:ascii="Calibri" w:cs="Calibri" w:eastAsia="Calibri" w:hAnsi="Calibri"/>
          <w:sz w:val="17"/>
          <w:szCs w:val="17"/>
        </w:rPr>
        <w:t xml:space="preserve">  Top up to the mark, bring to the reference temperature and weigh.</w:t>
      </w:r>
    </w:p>
    <w:p>
      <w:pPr>
        <w:ind w:left="280"/>
        <w:spacing w:after="50" w:before="0" w:line="245"/>
      </w:pPr>
      <w:r>
        <w:rPr>
          <w:rFonts w:ascii="Calibri" w:cs="Calibri" w:eastAsia="Calibri" w:hAnsi="Calibri"/>
          <w:b/>
          <w:bCs/>
          <w:sz w:val="17"/>
          <w:szCs w:val="17"/>
        </w:rPr>
        <w:t xml:space="preserve">6.</w:t>
      </w:r>
      <w:r>
        <w:rPr>
          <w:rFonts w:ascii="Calibri" w:cs="Calibri" w:eastAsia="Calibri" w:hAnsi="Calibri"/>
          <w:sz w:val="17"/>
          <w:szCs w:val="17"/>
        </w:rPr>
        <w:t xml:space="preserve">  Empty, clean and refill the pycnometer with distilled water alone and weigh.</w:t>
      </w:r>
    </w:p>
    <w:p>
      <w:pPr>
        <w:ind w:left="280"/>
        <w:spacing w:after="50" w:before="0" w:line="245"/>
      </w:pPr>
      <w:r>
        <w:rPr>
          <w:rFonts w:ascii="Calibri" w:cs="Calibri" w:eastAsia="Calibri" w:hAnsi="Calibri"/>
          <w:b/>
          <w:bCs/>
          <w:sz w:val="17"/>
          <w:szCs w:val="17"/>
        </w:rPr>
        <w:t xml:space="preserve">7.</w:t>
      </w:r>
      <w:r>
        <w:rPr>
          <w:rFonts w:ascii="Calibri" w:cs="Calibri" w:eastAsia="Calibri" w:hAnsi="Calibri"/>
          <w:sz w:val="17"/>
          <w:szCs w:val="17"/>
        </w:rPr>
        <w:t xml:space="preserve">  Calculate SG from the four masses and the water density at the measured temperature.</w:t>
      </w:r>
    </w:p>
    <w:p>
      <w:pPr>
        <w:ind w:left="280"/>
        <w:spacing w:after="50" w:before="0" w:line="245"/>
      </w:pPr>
      <w:r>
        <w:rPr>
          <w:rFonts w:ascii="Calibri" w:cs="Calibri" w:eastAsia="Calibri" w:hAnsi="Calibri"/>
          <w:b/>
          <w:bCs/>
          <w:sz w:val="17"/>
          <w:szCs w:val="17"/>
        </w:rPr>
        <w:t xml:space="preserve">8.</w:t>
      </w:r>
      <w:r>
        <w:rPr>
          <w:rFonts w:ascii="Calibri" w:cs="Calibri" w:eastAsia="Calibri" w:hAnsi="Calibri"/>
          <w:sz w:val="17"/>
          <w:szCs w:val="17"/>
        </w:rPr>
        <w:t xml:space="preserve">  Run in duplicate. Repeat if the duplicates differ by more than the allowed tolerance.</w:t>
      </w:r>
    </w:p>
    <w:p>
      <w:pPr>
        <w:pStyle w:val="Heading1"/>
        <w:spacing w:after="120" w:before="260"/>
      </w:pPr>
      <w:r>
        <w:rPr>
          <w:rFonts w:ascii="Calibri" w:cs="Calibri" w:eastAsia="Calibri" w:hAnsi="Calibri"/>
          <w:b/>
          <w:bCs/>
          <w:color w:val="1F3864"/>
          <w:sz w:val="24"/>
          <w:szCs w:val="24"/>
        </w:rPr>
        <w:t xml:space="preserve">7  ON COMPLETION</w:t>
      </w:r>
    </w:p>
    <w:p>
      <w:pPr>
        <w:pStyle w:val="ListParagraph"/>
        <w:numPr>
          <w:ilvl w:val="0"/>
          <w:numId w:val="1"/>
        </w:numPr>
        <w:spacing w:after="60" w:line="245"/>
      </w:pPr>
      <w:r>
        <w:rPr>
          <w:rFonts w:ascii="Calibri" w:cs="Calibri" w:eastAsia="Calibri" w:hAnsi="Calibri"/>
          <w:sz w:val="17"/>
          <w:szCs w:val="17"/>
        </w:rPr>
        <w:t xml:space="preserve">Wash down the bench and the fume cupboard working surface.</w:t>
      </w:r>
    </w:p>
    <w:p>
      <w:pPr>
        <w:pStyle w:val="ListParagraph"/>
        <w:numPr>
          <w:ilvl w:val="0"/>
          <w:numId w:val="1"/>
        </w:numPr>
        <w:spacing w:after="60" w:line="245"/>
      </w:pPr>
      <w:r>
        <w:rPr>
          <w:rFonts w:ascii="Calibri" w:cs="Calibri" w:eastAsia="Calibri" w:hAnsi="Calibri"/>
          <w:sz w:val="17"/>
          <w:szCs w:val="17"/>
        </w:rPr>
        <w:t xml:space="preserve">Clean glassware and return it to the drying rack.</w:t>
      </w:r>
    </w:p>
    <w:p>
      <w:pPr>
        <w:pStyle w:val="ListParagraph"/>
        <w:numPr>
          <w:ilvl w:val="0"/>
          <w:numId w:val="1"/>
        </w:numPr>
        <w:spacing w:after="60" w:line="245"/>
      </w:pPr>
      <w:r>
        <w:rPr>
          <w:rFonts w:ascii="Calibri" w:cs="Calibri" w:eastAsia="Calibri" w:hAnsi="Calibri"/>
          <w:sz w:val="17"/>
          <w:szCs w:val="17"/>
        </w:rPr>
        <w:t xml:space="preserve">Dispose of residues to the correct waste stream - cyanide-bearing effluent does NOT go to the general drain.</w:t>
      </w:r>
    </w:p>
    <w:p>
      <w:pPr>
        <w:pStyle w:val="ListParagraph"/>
        <w:numPr>
          <w:ilvl w:val="0"/>
          <w:numId w:val="1"/>
        </w:numPr>
        <w:spacing w:after="60" w:line="245"/>
      </w:pPr>
      <w:r>
        <w:rPr>
          <w:rFonts w:ascii="Calibri" w:cs="Calibri" w:eastAsia="Calibri" w:hAnsi="Calibri"/>
          <w:sz w:val="17"/>
          <w:szCs w:val="17"/>
        </w:rPr>
        <w:t xml:space="preserve">Record the result, the method used and the instrument or balance identity.</w:t>
      </w:r>
    </w:p>
    <w:p>
      <w:pPr>
        <w:pStyle w:val="Heading1"/>
        <w:spacing w:after="120" w:before="260"/>
      </w:pPr>
      <w:r>
        <w:rPr>
          <w:rFonts w:ascii="Calibri" w:cs="Calibri" w:eastAsia="Calibri" w:hAnsi="Calibri"/>
          <w:b/>
          <w:bCs/>
          <w:color w:val="1F3864"/>
          <w:sz w:val="24"/>
          <w:szCs w:val="24"/>
        </w:rPr>
        <w:t xml:space="preserve">8  RECORDS</w:t>
      </w:r>
    </w:p>
    <w:p>
      <w:pPr>
        <w:pStyle w:val="ListParagraph"/>
        <w:numPr>
          <w:ilvl w:val="0"/>
          <w:numId w:val="1"/>
        </w:numPr>
        <w:spacing w:after="60" w:line="245"/>
      </w:pPr>
      <w:r>
        <w:rPr>
          <w:rFonts w:ascii="Calibri" w:cs="Calibri" w:eastAsia="Calibri" w:hAnsi="Calibri"/>
          <w:sz w:val="17"/>
          <w:szCs w:val="17"/>
        </w:rPr>
        <w:t xml:space="preserve">Field or bench data sheet - date, time, shift, operator, and every value determined.</w:t>
      </w:r>
    </w:p>
    <w:p>
      <w:pPr>
        <w:pStyle w:val="ListParagraph"/>
        <w:numPr>
          <w:ilvl w:val="0"/>
          <w:numId w:val="1"/>
        </w:numPr>
        <w:spacing w:after="60" w:line="245"/>
      </w:pPr>
      <w:r>
        <w:rPr>
          <w:rFonts w:ascii="Calibri" w:cs="Calibri" w:eastAsia="Calibri" w:hAnsi="Calibri"/>
          <w:sz w:val="17"/>
          <w:szCs w:val="17"/>
        </w:rPr>
        <w:t xml:space="preserve">Register or logbook entry and any handover signature.</w:t>
      </w:r>
    </w:p>
    <w:p>
      <w:pPr>
        <w:pStyle w:val="ListParagraph"/>
        <w:numPr>
          <w:ilvl w:val="0"/>
          <w:numId w:val="1"/>
        </w:numPr>
        <w:spacing w:after="60" w:line="245"/>
      </w:pPr>
      <w:r>
        <w:rPr>
          <w:rFonts w:ascii="Calibri" w:cs="Calibri" w:eastAsia="Calibri" w:hAnsi="Calibri"/>
          <w:sz w:val="17"/>
          <w:szCs w:val="17"/>
        </w:rPr>
        <w:t xml:space="preserve">Any step not completed, recorded with the reason.</w:t>
      </w:r>
    </w:p>
    <w:p>
      <w:pPr>
        <w:pStyle w:val="ListParagraph"/>
        <w:numPr>
          <w:ilvl w:val="0"/>
          <w:numId w:val="1"/>
        </w:numPr>
        <w:spacing w:after="60" w:line="245"/>
      </w:pPr>
      <w:r>
        <w:rPr>
          <w:rFonts w:ascii="Calibri" w:cs="Calibri" w:eastAsia="Calibri" w:hAnsi="Calibri"/>
          <w:sz w:val="17"/>
          <w:szCs w:val="17"/>
        </w:rPr>
        <w:t xml:space="preserve">Any control in Section 3 found not in place, reported to the Shift Supervisor and recorded.</w:t>
      </w:r>
    </w:p>
    <w:p>
      <w:pPr>
        <w:pStyle w:val="Heading1"/>
        <w:spacing w:after="120" w:before="260"/>
      </w:pPr>
      <w:r>
        <w:rPr>
          <w:rFonts w:ascii="Calibri" w:cs="Calibri" w:eastAsia="Calibri" w:hAnsi="Calibri"/>
          <w:b/>
          <w:bCs/>
          <w:color w:val="1F3864"/>
          <w:sz w:val="24"/>
          <w:szCs w:val="24"/>
        </w:rPr>
        <w:t xml:space="preserve">9  REFERENCE</w:t>
      </w:r>
    </w:p>
    <w:p>
      <w:pPr>
        <w:pStyle w:val="ListParagraph"/>
        <w:numPr>
          <w:ilvl w:val="0"/>
          <w:numId w:val="1"/>
        </w:numPr>
        <w:spacing w:after="60" w:line="245"/>
      </w:pPr>
      <w:r>
        <w:rPr>
          <w:rFonts w:ascii="Calibri" w:cs="Calibri" w:eastAsia="Calibri" w:hAnsi="Calibri"/>
          <w:sz w:val="17"/>
          <w:szCs w:val="17"/>
        </w:rPr>
        <w:t xml:space="preserve">KBK-MIR-MP-PRO-OPE-SOP-0015 SG solid determination by pycnometer</w:t>
      </w:r>
    </w:p>
    <w:sectPr>
      <w:headerReference w:type="default" r:id="rId7"/>
      <w:footerReference w:type="default" r:id="rId8"/>
      <w:pgSz w:w="11906" w:h="16838" w:orient="portrait"/>
      <w:pgMar w:top="1000" w:right="1000" w:bottom="900" w:left="10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rFonts w:ascii="Calibri" w:cs="Calibri" w:eastAsia="Calibri" w:hAnsi="Calibri"/>
        <w:color w:val="595959"/>
        <w:sz w:val="15"/>
        <w:szCs w:val="15"/>
      </w:rPr>
      <w:t xml:space="preserve">Page </w:t>
    </w:r>
    <w:r>
      <w:rPr>
        <w:rFonts w:ascii="Calibri" w:cs="Calibri" w:eastAsia="Calibri" w:hAnsi="Calibri"/>
        <w:color w:val="595959"/>
        <w:sz w:val="15"/>
        <w:szCs w:val="15"/>
      </w:rPr>
      <w:fldChar w:fldCharType="begin"/>
      <w:instrText xml:space="preserve">PAGE</w:instrText>
      <w:fldChar w:fldCharType="separate"/>
      <w:fldChar w:fldCharType="end"/>
    </w:r>
    <w:r>
      <w:rPr>
        <w:rFonts w:ascii="Calibri" w:cs="Calibri" w:eastAsia="Calibri" w:hAnsi="Calibri"/>
        <w:color w:val="595959"/>
        <w:sz w:val="15"/>
        <w:szCs w:val="15"/>
      </w:rPr>
      <w:t xml:space="preserve"> of </w:t>
    </w:r>
    <w:r>
      <w:rPr>
        <w:rFonts w:ascii="Calibri" w:cs="Calibri" w:eastAsia="Calibri" w:hAnsi="Calibri"/>
        <w:color w:val="595959"/>
        <w:sz w:val="15"/>
        <w:szCs w:val="15"/>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sz="4" w:space="2" w:color="D7DEE9"/>
      </w:pBdr>
      <w:spacing w:after="0" w:line="240"/>
    </w:pPr>
    <w:r>
      <w:rPr>
        <w:rFonts w:ascii="Calibri" w:cs="Calibri" w:eastAsia="Calibri" w:hAnsi="Calibri"/>
        <w:color w:val="555555"/>
        <w:sz w:val="15"/>
        <w:szCs w:val="15"/>
      </w:rPr>
      <w:t xml:space="preserve">SWI-PRO-MET-204-005  ·  Solids Specific Gravity by Pycnometer  ·  Rev A</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19"/>
        <w:szCs w:val="19"/>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2026-08-09T12:17:56.406Z</dcterms:created>
  <dcterms:modified xsi:type="dcterms:W3CDTF">2026-08-09T12:17:56.406Z</dcterms:modified>
</cp:coreProperties>
</file>

<file path=docProps/custom.xml><?xml version="1.0" encoding="utf-8"?>
<Properties xmlns="http://schemas.openxmlformats.org/officeDocument/2006/custom-properties" xmlns:vt="http://schemas.openxmlformats.org/officeDocument/2006/docPropsVTypes"/>
</file>