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Moisture Content Determination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the moisture content of a sample by oven drying to constant mass.</w:t>
      </w:r>
    </w:p>
    <w:p>
      <w:pPr>
        <w:spacing w:after="60" w:before="0" w:line="245"/>
      </w:pPr>
      <w:r>
        <w:rPr>
          <w:rFonts w:ascii="Calibri" w:cs="Calibri" w:eastAsia="Calibri" w:hAnsi="Calibri"/>
          <w:sz w:val="17"/>
          <w:szCs w:val="17"/>
        </w:rPr>
        <w:t xml:space="preserve">Every assay is reported on a dry basis. A wrong moisture makes every grade wrong.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solid sample requiring a dry mass.</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SWI-PRO-MET-204-006 in HM-MMM-WHS-REG-XXX-R00-SWI-SWMS, tab SWI-MET. The matching hazard analysis is JSEA-PRO-MET-204-006.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Moisture tins</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Tongs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clean dry tin and record the tare.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sample, spread it evenly and weigh to get the wet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in the oven at the method temperature until constant mass. Constant mass means two successive weighings agree, not one weighing after a set time.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Cool in the desiccator before every weighing. A hot sample reads light.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and record the dry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Calculate moisture as a percentage of the wet mass.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oven temperature, the drying period and the balance identity.</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KBK-MIR-MP-PRO-OPE-SOP-0022 Moisture Content</w:t>
      </w:r>
    </w:p>
    <w:p>
      <w:pPr>
        <w:pStyle w:val="ListParagraph"/>
        <w:numPr>
          <w:ilvl w:val="0"/>
          <w:numId w:val="1"/>
        </w:numPr>
        <w:spacing w:after="60" w:line="245"/>
      </w:pPr>
      <w:r>
        <w:rPr>
          <w:rFonts w:ascii="Calibri" w:cs="Calibri" w:eastAsia="Calibri" w:hAnsi="Calibri"/>
          <w:sz w:val="17"/>
          <w:szCs w:val="17"/>
        </w:rPr>
        <w:t xml:space="preserve">KBK-MIR-MP-PRO-MET-SOP-0032 Moisture Content, Bahasa master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SWI-PRO-MET-204-006  ·  Moisture Content Determination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