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Static and Dynamic Settling Test</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SWI-PRO-MET-204-009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JSEA-PRO-MET-204-009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Measure how fast solids settle, with and without flocculant, and what underflow density results.</w:t>
      </w:r>
    </w:p>
    <w:p>
      <w:pPr>
        <w:spacing w:after="60" w:before="0" w:line="245"/>
      </w:pPr>
      <w:r>
        <w:rPr>
          <w:rFonts w:ascii="Calibri" w:cs="Calibri" w:eastAsia="Calibri" w:hAnsi="Calibri"/>
          <w:sz w:val="17"/>
          <w:szCs w:val="17"/>
        </w:rPr>
        <w:t xml:space="preserve">This is the test behind every thickener decision - flux, flocculant dose and underflow density.</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and whenever thickener performance changes.</w:t>
      </w:r>
    </w:p>
    <w:p>
      <w:pPr>
        <w:spacing w:after="60" w:before="0" w:line="245"/>
      </w:pPr>
      <w:r>
        <w:rPr>
          <w:rFonts w:ascii="Calibri" w:cs="Calibri" w:eastAsia="Calibri" w:hAnsi="Calibri"/>
          <w:sz w:val="17"/>
          <w:szCs w:val="17"/>
        </w:rPr>
        <w:t xml:space="preserve">This instruction sits under Standard Work Procedure HM-PRC-VXX-PRO208 - Metallurgical Laboratory Physical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SWI-PRO-MET-204-009 in HM-MMM-WHS-REG-XXX-R00-SWI-SWMS, tab SWI-MET. The matching hazard analysis is JSEA-PRO-MET-204-009.</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JSEA-PRO-MET-204-009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JSEA-PRO-MET-204-009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Settling cylinders</w:t>
      </w:r>
    </w:p>
    <w:p>
      <w:pPr>
        <w:pStyle w:val="ListParagraph"/>
        <w:numPr>
          <w:ilvl w:val="0"/>
          <w:numId w:val="1"/>
        </w:numPr>
        <w:spacing w:after="60" w:line="245"/>
      </w:pPr>
      <w:r>
        <w:rPr>
          <w:rFonts w:ascii="Calibri" w:cs="Calibri" w:eastAsia="Calibri" w:hAnsi="Calibri"/>
          <w:sz w:val="17"/>
          <w:szCs w:val="17"/>
        </w:rPr>
        <w:t xml:space="preserve">Stopwatch</w:t>
      </w:r>
    </w:p>
    <w:p>
      <w:pPr>
        <w:pStyle w:val="ListParagraph"/>
        <w:numPr>
          <w:ilvl w:val="0"/>
          <w:numId w:val="1"/>
        </w:numPr>
        <w:spacing w:after="60" w:line="245"/>
      </w:pPr>
      <w:r>
        <w:rPr>
          <w:rFonts w:ascii="Calibri" w:cs="Calibri" w:eastAsia="Calibri" w:hAnsi="Calibri"/>
          <w:sz w:val="17"/>
          <w:szCs w:val="17"/>
        </w:rPr>
        <w:t xml:space="preserve">Flocculant solutions at known strength</w:t>
      </w:r>
    </w:p>
    <w:p>
      <w:pPr>
        <w:pStyle w:val="ListParagraph"/>
        <w:numPr>
          <w:ilvl w:val="0"/>
          <w:numId w:val="1"/>
        </w:numPr>
        <w:spacing w:after="60" w:line="245"/>
      </w:pPr>
      <w:r>
        <w:rPr>
          <w:rFonts w:ascii="Calibri" w:cs="Calibri" w:eastAsia="Calibri" w:hAnsi="Calibri"/>
          <w:sz w:val="17"/>
          <w:szCs w:val="17"/>
        </w:rPr>
        <w:t xml:space="preserve">Pipettes</w:t>
      </w:r>
    </w:p>
    <w:p>
      <w:pPr>
        <w:pStyle w:val="ListParagraph"/>
        <w:numPr>
          <w:ilvl w:val="0"/>
          <w:numId w:val="1"/>
        </w:numPr>
        <w:spacing w:after="60" w:line="245"/>
      </w:pPr>
      <w:r>
        <w:rPr>
          <w:rFonts w:ascii="Calibri" w:cs="Calibri" w:eastAsia="Calibri" w:hAnsi="Calibri"/>
          <w:sz w:val="17"/>
          <w:szCs w:val="17"/>
        </w:rPr>
        <w:t xml:space="preserve">Plunger</w:t>
      </w:r>
    </w:p>
    <w:p>
      <w:pPr>
        <w:pStyle w:val="ListParagraph"/>
        <w:numPr>
          <w:ilvl w:val="0"/>
          <w:numId w:val="1"/>
        </w:numPr>
        <w:spacing w:after="60" w:line="245"/>
      </w:pPr>
      <w:r>
        <w:rPr>
          <w:rFonts w:ascii="Calibri" w:cs="Calibri" w:eastAsia="Calibri" w:hAnsi="Calibri"/>
          <w:sz w:val="17"/>
          <w:szCs w:val="17"/>
        </w:rPr>
        <w:t xml:space="preserve">Marcy scale</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Prepare the sample at the thickener feed density and record it.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Make up flocculant at the plant strength. A test run on differently prepared flocculant does not transfer to the plant.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Fill the cylinder, add the flocculant dose and mix with the plunger using the standard number of strokes. Over-mixing shears the floc and understates the settling rate.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Start the clock and record the interface height at set intervals.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Continue until the interface stops moving, then record the compaction over time.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Repeat at three or more flocculant doses to find the response curve.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Calculate the settling rate and the achievable underflow density for each dose.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the optimum dose and the flux against the thickener design basis.</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KBK-MIR-MP-PRO-OPE-SOP-0014 Uji Pengendapan</w:t>
      </w:r>
    </w:p>
    <w:p>
      <w:pPr>
        <w:pStyle w:val="ListParagraph"/>
        <w:numPr>
          <w:ilvl w:val="0"/>
          <w:numId w:val="1"/>
        </w:numPr>
        <w:spacing w:after="60" w:line="245"/>
      </w:pPr>
      <w:r>
        <w:rPr>
          <w:rFonts w:ascii="Calibri" w:cs="Calibri" w:eastAsia="Calibri" w:hAnsi="Calibri"/>
          <w:sz w:val="17"/>
          <w:szCs w:val="17"/>
        </w:rPr>
        <w:t xml:space="preserve">4034-018A-VE-007 Roytec tails thickener control philosophy, received 11 Aug 2026</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SWI-PRO-MET-204-009  ·  Static and Dynamic Settling Test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