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Flocculant Screening and Dose Optimisation Test</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SWI-PRO-MET-204-010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JSEA-PRO-MET-204-010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Compare flocculant types and doses to find the cheapest one that does the job.</w:t>
      </w:r>
    </w:p>
    <w:p>
      <w:pPr>
        <w:spacing w:after="60" w:before="0" w:line="245"/>
      </w:pPr>
      <w:r>
        <w:rPr>
          <w:rFonts w:ascii="Calibri" w:cs="Calibri" w:eastAsia="Calibri" w:hAnsi="Calibri"/>
          <w:sz w:val="17"/>
          <w:szCs w:val="17"/>
        </w:rPr>
        <w:t xml:space="preserve">Flocculant is a significant consumable and the wrong grade costs both money and thickener performance.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 a flocculant change is proposed.</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SWI-PRO-MET-204-010 in HM-MMM-WHS-REG-XXX-R00-SWI-SWMS, tab SWI-MET. The matching hazard analysis is JSEA-PRO-MET-204-010.</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JSEA-PRO-MET-204-010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JSEA-PRO-MET-204-010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Settling cylinders - NOT PURCHASED</w:t>
      </w:r>
    </w:p>
    <w:p>
      <w:pPr>
        <w:pStyle w:val="ListParagraph"/>
        <w:numPr>
          <w:ilvl w:val="0"/>
          <w:numId w:val="1"/>
        </w:numPr>
        <w:spacing w:after="60" w:line="245"/>
      </w:pPr>
      <w:r>
        <w:rPr>
          <w:rFonts w:ascii="Calibri" w:cs="Calibri" w:eastAsia="Calibri" w:hAnsi="Calibri"/>
          <w:sz w:val="17"/>
          <w:szCs w:val="17"/>
        </w:rPr>
        <w:t xml:space="preserve">Flocculant samples from candidate suppliers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Plunger</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settling cylinders and a flocculant test rig are available before planning the test.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Make up each candidate flocculant at the same strength and ageing time.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Run the settling test at a fixed dose across all candidates first, to shortlist.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Run the dose response on the shortlist.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settling rate, overflow clarity and underflow density for each.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Cost each option per tonne treated at its optimum dose.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against the plant flocculant basis in the Roytec control philosophies.</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4034-019-VE-006 Roytec Model 01 and 4034-019B-VE-007 Model 05 flocculant plant control philosophies, received 11 Aug 2026 - the plant make-up concentration and dose basis</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SWI-PRO-MET-204-010  ·  Flocculant Screening and Dose Optimisation Test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