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Grind Establishment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Establish the grind time needed to reach a target P80 on a given ore.</w:t>
      </w:r>
    </w:p>
    <w:p>
      <w:pPr>
        <w:spacing w:after="60" w:before="0" w:line="245"/>
      </w:pPr>
      <w:r>
        <w:rPr>
          <w:rFonts w:ascii="Calibri" w:cs="Calibri" w:eastAsia="Calibri" w:hAnsi="Calibri"/>
          <w:sz w:val="17"/>
          <w:szCs w:val="17"/>
        </w:rPr>
        <w:t xml:space="preserve">It is the bench test behind every grind target and every liberation decision.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 a change to the grind target is proposed.</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SWI-PRO-MET-204-013 in HM-MMM-WHS-REG-XXX-R00-SWI-SWMS, tab SWI-MET. The matching hazard analysis is JSEA-PRO-MET-204-013.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Laboratory mill and charge</w:t>
      </w:r>
    </w:p>
    <w:p>
      <w:pPr>
        <w:pStyle w:val="ListParagraph"/>
        <w:numPr>
          <w:ilvl w:val="0"/>
          <w:numId w:val="1"/>
        </w:numPr>
        <w:spacing w:after="60" w:line="245"/>
      </w:pPr>
      <w:r>
        <w:rPr>
          <w:rFonts w:ascii="Calibri" w:cs="Calibri" w:eastAsia="Calibri" w:hAnsi="Calibri"/>
          <w:sz w:val="17"/>
          <w:szCs w:val="17"/>
        </w:rPr>
        <w:t xml:space="preserve">Sieve set and Ro-Tap</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Riffle splitter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Split the sample into equal charges, one per grind time.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Determine the feed size distribution on one charge.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Grind each charge for a different time under identical conditions - same charge, same solids, same speed.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Wet screen, dry and size each product.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Plot P80 against grind time.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Read the grind time for the target P80 off the curve.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Where a liberation or recovery target is being set, run a bottle roll on each grind product and plot recovery against P80.</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KBK-MIR-MP-PRO-OPE-SOP-0012 Uji Pengujian Grind Establishment</w:t>
      </w:r>
    </w:p>
    <w:p>
      <w:pPr>
        <w:pStyle w:val="ListParagraph"/>
        <w:numPr>
          <w:ilvl w:val="0"/>
          <w:numId w:val="1"/>
        </w:numPr>
        <w:spacing w:after="60" w:line="245"/>
      </w:pPr>
      <w:r>
        <w:rPr>
          <w:rFonts w:ascii="Calibri" w:cs="Calibri" w:eastAsia="Calibri" w:hAnsi="Calibri"/>
          <w:sz w:val="17"/>
          <w:szCs w:val="17"/>
        </w:rPr>
        <w:t xml:space="preserve">KBK-MIR-MP-PRO-MET-SOP-0027 Grinding Survey,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SWI-PRO-MET-204-013  ·  Grind Establishment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