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Dry Sieve Analysis - Ro-Tap RX29 and 200 mm Sieve Set</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SWI-PRO-MET-204-016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JSEA-PRO-MET-204-016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204  Met Lab - Physical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HM-PRC-VXX-PRO208  Metallurgical Laboratory Physical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Operating</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Determine the size distribution of a dry sample by mechanical sieving.</w:t>
      </w:r>
    </w:p>
    <w:p>
      <w:pPr>
        <w:spacing w:after="60" w:before="0" w:line="245"/>
      </w:pPr>
      <w:r>
        <w:rPr>
          <w:rFonts w:ascii="Calibri" w:cs="Calibri" w:eastAsia="Calibri" w:hAnsi="Calibri"/>
          <w:sz w:val="17"/>
          <w:szCs w:val="17"/>
        </w:rPr>
        <w:t xml:space="preserve">The standard sizing method for anything that does not need wet screening first.</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Met lab bench</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Physical testwork bench and instrument</w:t>
            </w:r>
          </w:p>
        </w:tc>
      </w:tr>
    </w:tbl>
    <w:p>
      <w:pPr>
        <w:spacing w:after="60" w:before="0" w:line="245"/>
      </w:pPr>
    </w:p>
    <w:p>
      <w:pPr>
        <w:spacing w:after="60" w:before="0" w:line="245"/>
      </w:pPr>
      <w:r>
        <w:rPr>
          <w:rFonts w:ascii="Calibri" w:cs="Calibri" w:eastAsia="Calibri" w:hAnsi="Calibri"/>
          <w:sz w:val="17"/>
          <w:szCs w:val="17"/>
        </w:rPr>
        <w:t xml:space="preserve">Frequency: As required by the analysis schedule.</w:t>
      </w:r>
    </w:p>
    <w:p>
      <w:pPr>
        <w:spacing w:after="60" w:before="0" w:line="245"/>
      </w:pPr>
      <w:r>
        <w:rPr>
          <w:rFonts w:ascii="Calibri" w:cs="Calibri" w:eastAsia="Calibri" w:hAnsi="Calibri"/>
          <w:sz w:val="17"/>
          <w:szCs w:val="17"/>
        </w:rPr>
        <w:t xml:space="preserve">This instruction sits under Standard Work Procedure HM-PRC-VXX-PRO208 - Metallurgical Laboratory Physical Testwork. Read that procedure before carrying out this task for the first time.</w:t>
      </w:r>
    </w:p>
    <w:p>
      <w:pPr>
        <w:spacing w:after="60" w:before="0" w:line="245"/>
      </w:pPr>
      <w:r>
        <w:rPr>
          <w:rFonts w:ascii="Calibri" w:cs="Calibri" w:eastAsia="Calibri" w:hAnsi="Calibri"/>
          <w:sz w:val="17"/>
          <w:szCs w:val="17"/>
        </w:rPr>
        <w:t xml:space="preserve">Register line: SWI-PRO-MET-204-016 in HM-MMM-WHS-REG-XXX-R00-SWI-SWMS, tab SWI-MET. The matching hazard analysis is JSEA-PRO-MET-204-016.</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JSEA-PRO-MET-204-016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Inhalation of or contact with solid reagent - cyanide briquettes, lime or salt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Sampling of solid cyanide done only with the full cyanide PPE set including a gas mask with an A2B2E2K2P3 cartridge. Dust suppression and local extraction confirmed running. No dry sweeping.</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Hearing damage in the mill, screen, compressor and blower areas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Hearing protection mandatory in signed areas. Double protection at the mill and compressor. Time at the point kept to what the task needs.</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Contact with an agitator, sample cutter, pump or screen that starts without warning</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Much of the plant is automated and equipment can start or stop without warning. Guards confirmed in place before approaching. Control room notified before the round starts and again on completion. Isolation and lock-out before any guard or cutter housing is opened.</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Manual handling injury from carrying sample buckets, containers and composite drums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Sample volume kept to the schedule - no over-filling. Two-person lift or a trolley for composite containers above the site manual handling limit. Route cleared before lifting.</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JSEA-PRO-MET-204-016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fume cupboard airflow, the scrubber and its dosing are running before any acid or cyanide work at the bench.</w:t>
      </w:r>
    </w:p>
    <w:p>
      <w:pPr>
        <w:pStyle w:val="ListParagraph"/>
        <w:numPr>
          <w:ilvl w:val="0"/>
          <w:numId w:val="1"/>
        </w:numPr>
        <w:spacing w:after="60" w:line="245"/>
      </w:pPr>
      <w:r>
        <w:rPr>
          <w:rFonts w:ascii="Calibri" w:cs="Calibri" w:eastAsia="Calibri" w:hAnsi="Calibri"/>
          <w:sz w:val="17"/>
          <w:szCs w:val="17"/>
        </w:rPr>
        <w:t xml:space="preserve">Confirm the safety shower and eyewash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instrument or balance is within its calibration or verification interval.</w:t>
      </w:r>
    </w:p>
    <w:p>
      <w:pPr>
        <w:pStyle w:val="ListParagraph"/>
        <w:numPr>
          <w:ilvl w:val="0"/>
          <w:numId w:val="1"/>
        </w:numPr>
        <w:spacing w:after="60" w:line="245"/>
      </w:pPr>
      <w:r>
        <w:rPr>
          <w:rFonts w:ascii="Calibri" w:cs="Calibri" w:eastAsia="Calibri" w:hAnsi="Calibri"/>
          <w:sz w:val="17"/>
          <w:szCs w:val="17"/>
        </w:rPr>
        <w:t xml:space="preserve">Confirm the reagents to be used are in date and correctly labelled.</w:t>
      </w:r>
    </w:p>
    <w:p>
      <w:pPr>
        <w:pStyle w:val="ListParagraph"/>
        <w:numPr>
          <w:ilvl w:val="0"/>
          <w:numId w:val="1"/>
        </w:numPr>
        <w:spacing w:after="60" w:line="245"/>
      </w:pPr>
      <w:r>
        <w:rPr>
          <w:rFonts w:ascii="Calibri" w:cs="Calibri" w:eastAsia="Calibri" w:hAnsi="Calibri"/>
          <w:sz w:val="17"/>
          <w:szCs w:val="17"/>
        </w:rPr>
        <w:t xml:space="preserve">Inspect all glassware for chips and cracks and discard anything damaged.</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Ro-Tap RX29 and sound enclosure</w:t>
      </w:r>
    </w:p>
    <w:p>
      <w:pPr>
        <w:pStyle w:val="ListParagraph"/>
        <w:numPr>
          <w:ilvl w:val="0"/>
          <w:numId w:val="1"/>
        </w:numPr>
        <w:spacing w:after="60" w:line="245"/>
      </w:pPr>
      <w:r>
        <w:rPr>
          <w:rFonts w:ascii="Calibri" w:cs="Calibri" w:eastAsia="Calibri" w:hAnsi="Calibri"/>
          <w:sz w:val="17"/>
          <w:szCs w:val="17"/>
        </w:rPr>
        <w:t xml:space="preserve">200 mm sieve set 38 um to 2 mm</w:t>
      </w:r>
    </w:p>
    <w:p>
      <w:pPr>
        <w:pStyle w:val="ListParagraph"/>
        <w:numPr>
          <w:ilvl w:val="0"/>
          <w:numId w:val="1"/>
        </w:numPr>
        <w:spacing w:after="60" w:line="245"/>
      </w:pPr>
      <w:r>
        <w:rPr>
          <w:rFonts w:ascii="Calibri" w:cs="Calibri" w:eastAsia="Calibri" w:hAnsi="Calibri"/>
          <w:sz w:val="17"/>
          <w:szCs w:val="17"/>
        </w:rPr>
        <w:t xml:space="preserve">Balance</w:t>
      </w:r>
    </w:p>
    <w:p>
      <w:pPr>
        <w:pStyle w:val="ListParagraph"/>
        <w:numPr>
          <w:ilvl w:val="0"/>
          <w:numId w:val="1"/>
        </w:numPr>
        <w:spacing w:after="60" w:line="245"/>
      </w:pPr>
      <w:r>
        <w:rPr>
          <w:rFonts w:ascii="Calibri" w:cs="Calibri" w:eastAsia="Calibri" w:hAnsi="Calibri"/>
          <w:sz w:val="17"/>
          <w:szCs w:val="17"/>
        </w:rPr>
        <w:t xml:space="preserve">Brushes</w:t>
      </w:r>
    </w:p>
    <w:p>
      <w:pPr>
        <w:pStyle w:val="ListParagraph"/>
        <w:numPr>
          <w:ilvl w:val="0"/>
          <w:numId w:val="1"/>
        </w:numPr>
        <w:spacing w:after="60" w:line="245"/>
      </w:pPr>
      <w:r>
        <w:rPr>
          <w:rFonts w:ascii="Calibri" w:cs="Calibri" w:eastAsia="Calibri" w:hAnsi="Calibri"/>
          <w:sz w:val="17"/>
          <w:szCs w:val="17"/>
        </w:rPr>
        <w:t xml:space="preserve">Ultrasonic sieve cleaner</w:t>
      </w:r>
    </w:p>
    <w:p>
      <w:pPr>
        <w:pStyle w:val="ListParagraph"/>
        <w:numPr>
          <w:ilvl w:val="0"/>
          <w:numId w:val="1"/>
        </w:numPr>
        <w:spacing w:after="60" w:line="245"/>
      </w:pPr>
      <w:r>
        <w:rPr>
          <w:rFonts w:ascii="Calibri" w:cs="Calibri" w:eastAsia="Calibri" w:hAnsi="Calibri"/>
          <w:sz w:val="17"/>
          <w:szCs w:val="17"/>
        </w:rPr>
        <w:t xml:space="preserve">Receiving pan</w:t>
      </w:r>
    </w:p>
    <w:p>
      <w:pPr>
        <w:pStyle w:val="Heading1"/>
        <w:spacing w:after="120" w:before="260"/>
      </w:pPr>
      <w:r>
        <w:rPr>
          <w:rFonts w:ascii="Calibri" w:cs="Calibri" w:eastAsia="Calibri" w:hAnsi="Calibri"/>
          <w:b/>
          <w:bCs/>
          <w:color w:val="1F3864"/>
          <w:sz w:val="24"/>
          <w:szCs w:val="24"/>
        </w:rPr>
        <w:t xml:space="preserve">6  STEPS</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Confirm the sieve set is clean and the apertures are intact before use.</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Dry the sample to constant mass and record the dry mass.</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Stack the sieves in descending aperture order with the pan at the bottom.</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Load the sample onto the top sieve. Do not overload - an overloaded sieve blinds and under-reports the fines.</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Shake on the Ro-Tap for the standard period with the sound enclosure closed.</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Weigh each retained fraction and the pan.</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Check the sum against the dry mass and repeat if the loss exceeds tolerance.</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Clean the sieves immediately after use and record the sieve set identity against the result.</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Wash down the bench and the fume cupboard working surface.</w:t>
      </w:r>
    </w:p>
    <w:p>
      <w:pPr>
        <w:pStyle w:val="ListParagraph"/>
        <w:numPr>
          <w:ilvl w:val="0"/>
          <w:numId w:val="1"/>
        </w:numPr>
        <w:spacing w:after="60" w:line="245"/>
      </w:pPr>
      <w:r>
        <w:rPr>
          <w:rFonts w:ascii="Calibri" w:cs="Calibri" w:eastAsia="Calibri" w:hAnsi="Calibri"/>
          <w:sz w:val="17"/>
          <w:szCs w:val="17"/>
        </w:rPr>
        <w:t xml:space="preserve">Clean glassware and return it to the drying rack.</w:t>
      </w:r>
    </w:p>
    <w:p>
      <w:pPr>
        <w:pStyle w:val="ListParagraph"/>
        <w:numPr>
          <w:ilvl w:val="0"/>
          <w:numId w:val="1"/>
        </w:numPr>
        <w:spacing w:after="60" w:line="245"/>
      </w:pPr>
      <w:r>
        <w:rPr>
          <w:rFonts w:ascii="Calibri" w:cs="Calibri" w:eastAsia="Calibri" w:hAnsi="Calibri"/>
          <w:sz w:val="17"/>
          <w:szCs w:val="17"/>
        </w:rPr>
        <w:t xml:space="preserve">Dispose of residues to the correct waste stream - cyanide-bearing effluent does NOT go to the general drain.</w:t>
      </w:r>
    </w:p>
    <w:p>
      <w:pPr>
        <w:pStyle w:val="ListParagraph"/>
        <w:numPr>
          <w:ilvl w:val="0"/>
          <w:numId w:val="1"/>
        </w:numPr>
        <w:spacing w:after="60" w:line="245"/>
      </w:pPr>
      <w:r>
        <w:rPr>
          <w:rFonts w:ascii="Calibri" w:cs="Calibri" w:eastAsia="Calibri" w:hAnsi="Calibri"/>
          <w:sz w:val="17"/>
          <w:szCs w:val="17"/>
        </w:rPr>
        <w:t xml:space="preserve">Record the result, the method used and the instrument or balance identity.</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ILS quotation Q0023979 - Ro-Tap RX29 shaker, sound enclosure and twelve 200 mm sieves</w:t>
      </w:r>
    </w:p>
    <w:p>
      <w:pPr>
        <w:pStyle w:val="ListParagraph"/>
        <w:numPr>
          <w:ilvl w:val="0"/>
          <w:numId w:val="1"/>
        </w:numPr>
        <w:spacing w:after="60" w:line="245"/>
      </w:pPr>
      <w:r>
        <w:rPr>
          <w:rFonts w:ascii="Calibri" w:cs="Calibri" w:eastAsia="Calibri" w:hAnsi="Calibri"/>
          <w:sz w:val="17"/>
          <w:szCs w:val="17"/>
        </w:rPr>
        <w:t xml:space="preserve">KBK-MIR-LAB-PRE-SOP-008 Uji Kehalusan Sampel</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SWI-PRO-MET-204-016  ·  Dry Sieve Analysis - Ro-Tap RX29 and 200 mm Sieve Set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