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Free Cyanide Titration - Silver Nitrate Method</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SWI-PRO-MET-205-001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JSEA-PRO-MET-205-001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Determine free cyanide by titration against standardised silver nitrate.</w:t>
      </w:r>
    </w:p>
    <w:p>
      <w:pPr>
        <w:spacing w:after="60" w:before="0" w:line="245"/>
      </w:pPr>
      <w:r>
        <w:rPr>
          <w:rFonts w:ascii="Calibri" w:cs="Calibri" w:eastAsia="Calibri" w:hAnsi="Calibri"/>
          <w:sz w:val="17"/>
          <w:szCs w:val="17"/>
        </w:rPr>
        <w:t xml:space="preserve">Free cyanide is the single most important solution number on this plant - it drives dosing, recovery and the environmental obligation.</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shift on every cyanide-bearing stream on the schedule.</w:t>
      </w:r>
    </w:p>
    <w:p>
      <w:pPr>
        <w:spacing w:after="60" w:before="0" w:line="245"/>
      </w:pPr>
      <w:r>
        <w:rPr>
          <w:rFonts w:ascii="Calibri" w:cs="Calibri" w:eastAsia="Calibri" w:hAnsi="Calibri"/>
          <w:sz w:val="17"/>
          <w:szCs w:val="17"/>
        </w:rPr>
        <w:t xml:space="preserve">This instruction sits under Standard Work Procedure HM-PRC-VXX-PRO209 - Metallurgical Laboratory Chemical and Leach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SWI-PRO-MET-205-001 in HM-MMM-WHS-REG-XXX-R00-SWI-SWMS, tab SWI-MET. The matching hazard analysis is JSEA-PRO-MET-205-001.</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JSEA-PRO-MET-205-001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JSEA-PRO-MET-205-001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Burette 50 mL and stand</w:t>
      </w:r>
    </w:p>
    <w:p>
      <w:pPr>
        <w:pStyle w:val="ListParagraph"/>
        <w:numPr>
          <w:ilvl w:val="0"/>
          <w:numId w:val="1"/>
        </w:numPr>
        <w:spacing w:after="60" w:line="245"/>
      </w:pPr>
      <w:r>
        <w:rPr>
          <w:rFonts w:ascii="Calibri" w:cs="Calibri" w:eastAsia="Calibri" w:hAnsi="Calibri"/>
          <w:sz w:val="17"/>
          <w:szCs w:val="17"/>
        </w:rPr>
        <w:t xml:space="preserve">Pipette 10 or 25 mL</w:t>
      </w:r>
    </w:p>
    <w:p>
      <w:pPr>
        <w:pStyle w:val="ListParagraph"/>
        <w:numPr>
          <w:ilvl w:val="0"/>
          <w:numId w:val="1"/>
        </w:numPr>
        <w:spacing w:after="60" w:line="245"/>
      </w:pPr>
      <w:r>
        <w:rPr>
          <w:rFonts w:ascii="Calibri" w:cs="Calibri" w:eastAsia="Calibri" w:hAnsi="Calibri"/>
          <w:sz w:val="17"/>
          <w:szCs w:val="17"/>
        </w:rPr>
        <w:t xml:space="preserve">Conical flasks 250 mL</w:t>
      </w:r>
    </w:p>
    <w:p>
      <w:pPr>
        <w:pStyle w:val="ListParagraph"/>
        <w:numPr>
          <w:ilvl w:val="0"/>
          <w:numId w:val="1"/>
        </w:numPr>
        <w:spacing w:after="60" w:line="245"/>
      </w:pPr>
      <w:r>
        <w:rPr>
          <w:rFonts w:ascii="Calibri" w:cs="Calibri" w:eastAsia="Calibri" w:hAnsi="Calibri"/>
          <w:sz w:val="17"/>
          <w:szCs w:val="17"/>
        </w:rPr>
        <w:t xml:space="preserve">Standardised AgNO3 0.01 M</w:t>
      </w:r>
    </w:p>
    <w:p>
      <w:pPr>
        <w:pStyle w:val="ListParagraph"/>
        <w:numPr>
          <w:ilvl w:val="0"/>
          <w:numId w:val="1"/>
        </w:numPr>
        <w:spacing w:after="60" w:line="245"/>
      </w:pPr>
      <w:r>
        <w:rPr>
          <w:rFonts w:ascii="Calibri" w:cs="Calibri" w:eastAsia="Calibri" w:hAnsi="Calibri"/>
          <w:sz w:val="17"/>
          <w:szCs w:val="17"/>
        </w:rPr>
        <w:t xml:space="preserve">Rhodanine indicator</w:t>
      </w:r>
    </w:p>
    <w:p>
      <w:pPr>
        <w:pStyle w:val="ListParagraph"/>
        <w:numPr>
          <w:ilvl w:val="0"/>
          <w:numId w:val="1"/>
        </w:numPr>
        <w:spacing w:after="60" w:line="245"/>
      </w:pPr>
      <w:r>
        <w:rPr>
          <w:rFonts w:ascii="Calibri" w:cs="Calibri" w:eastAsia="Calibri" w:hAnsi="Calibri"/>
          <w:sz w:val="17"/>
          <w:szCs w:val="17"/>
        </w:rPr>
        <w:t xml:space="preserve">Wash bottle and distilled water</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fume cupboard with the airflow confirmed. Cyanide solutions release HCN, faster if the pH has dropped.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Filter the sample if it is not already clear, and titrate as soon after filtration as possible to limit volatilisation loss.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Rinse the burette with distilled water then condition it three times with standardised AgNO3.</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Fill the burette and expel air from the tip.</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Pipette the aliquot into a conical flask.</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Add 3 to 5 drops of rhodanine indicator - the solution turns pale yellow.</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Add AgNO3 dropwise with continuous swirling. As the endpoint nears a salmon pink precipitate forms and redissolves slowly; slow the addition there.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Continue dropwise until a permanent salmon pink holds for 30 seconds without swirling.</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Record the burette reading and calculate free cyanide.</w:t>
      </w:r>
    </w:p>
    <w:p>
      <w:pPr>
        <w:ind w:left="280"/>
        <w:spacing w:after="50" w:before="0" w:line="245"/>
      </w:pPr>
      <w:r>
        <w:rPr>
          <w:rFonts w:ascii="Calibri" w:cs="Calibri" w:eastAsia="Calibri" w:hAnsi="Calibri"/>
          <w:b/>
          <w:bCs/>
          <w:sz w:val="17"/>
          <w:szCs w:val="17"/>
        </w:rPr>
        <w:t xml:space="preserve">10.</w:t>
      </w:r>
      <w:r>
        <w:rPr>
          <w:rFonts w:ascii="Calibri" w:cs="Calibri" w:eastAsia="Calibri" w:hAnsi="Calibri"/>
          <w:sz w:val="17"/>
          <w:szCs w:val="17"/>
        </w:rPr>
        <w:t xml:space="preserve">  Run a duplicate on every tenth sample and a standard once per shift.</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KBK-MIR-MP-PRO-OPE-SOP-0010 Titrasi Sianida</w:t>
      </w:r>
    </w:p>
    <w:p>
      <w:pPr>
        <w:pStyle w:val="ListParagraph"/>
        <w:numPr>
          <w:ilvl w:val="0"/>
          <w:numId w:val="1"/>
        </w:numPr>
        <w:spacing w:after="60" w:line="245"/>
      </w:pPr>
      <w:r>
        <w:rPr>
          <w:rFonts w:ascii="Calibri" w:cs="Calibri" w:eastAsia="Calibri" w:hAnsi="Calibri"/>
          <w:sz w:val="17"/>
          <w:szCs w:val="17"/>
        </w:rPr>
        <w:t xml:space="preserve">KBK-MIR-MP-PRO-MET-SOP-0037 Titrasi Sianida dengan Perak Nitrat and SOP-0043 AgNO3 0.01 M standard, both received 11 Aug 2026</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SWI-PRO-MET-205-001  ·  Free Cyanide Titration - Silver Nitrate Method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