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Sulphuric Acid Strength Titration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sulphuric acid strength by titration, on both a volume and a weight basis.</w:t>
      </w:r>
    </w:p>
    <w:p>
      <w:pPr>
        <w:spacing w:after="60" w:before="0" w:line="245"/>
      </w:pPr>
      <w:r>
        <w:rPr>
          <w:rFonts w:ascii="Calibri" w:cs="Calibri" w:eastAsia="Calibri" w:hAnsi="Calibri"/>
          <w:sz w:val="17"/>
          <w:szCs w:val="17"/>
        </w:rPr>
        <w:t xml:space="preserve">Acid strength sets the copper precipitation pH and the acid wash. An off-strength acid batch dosed at the normal rate overshoots.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made-up batch and once per shift on standing solution.</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SWI-PRO-MET-205-003 in HM-MMM-WHS-REG-XXX-R00-SWI-SWMS, tab SWI-MET. The matching hazard analysis is JSEA-PRO-MET-205-003.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JSEA-PRO-MET-205-003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JSEA-PRO-MET-205-003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and stand</w:t>
      </w:r>
    </w:p>
    <w:p>
      <w:pPr>
        <w:pStyle w:val="ListParagraph"/>
        <w:numPr>
          <w:ilvl w:val="0"/>
          <w:numId w:val="1"/>
        </w:numPr>
        <w:spacing w:after="60" w:line="245"/>
      </w:pPr>
      <w:r>
        <w:rPr>
          <w:rFonts w:ascii="Calibri" w:cs="Calibri" w:eastAsia="Calibri" w:hAnsi="Calibri"/>
          <w:sz w:val="17"/>
          <w:szCs w:val="17"/>
        </w:rPr>
        <w:t xml:space="preserve">Pipette</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Standardised NaOH</w:t>
      </w:r>
    </w:p>
    <w:p>
      <w:pPr>
        <w:pStyle w:val="ListParagraph"/>
        <w:numPr>
          <w:ilvl w:val="0"/>
          <w:numId w:val="1"/>
        </w:numPr>
        <w:spacing w:after="60" w:line="245"/>
      </w:pPr>
      <w:r>
        <w:rPr>
          <w:rFonts w:ascii="Calibri" w:cs="Calibri" w:eastAsia="Calibri" w:hAnsi="Calibri"/>
          <w:sz w:val="17"/>
          <w:szCs w:val="17"/>
        </w:rPr>
        <w:t xml:space="preserve">Phenolphthalein indicator</w:t>
      </w:r>
    </w:p>
    <w:p>
      <w:pPr>
        <w:pStyle w:val="ListParagraph"/>
        <w:numPr>
          <w:ilvl w:val="0"/>
          <w:numId w:val="1"/>
        </w:numPr>
        <w:spacing w:after="60" w:line="245"/>
      </w:pPr>
      <w:r>
        <w:rPr>
          <w:rFonts w:ascii="Calibri" w:cs="Calibri" w:eastAsia="Calibri" w:hAnsi="Calibri"/>
          <w:sz w:val="17"/>
          <w:szCs w:val="17"/>
        </w:rPr>
        <w:t xml:space="preserve">Analytical balance for the weight per volume method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Hanna HI902C titrator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sample from the designated diluted-acid valve. Never sample the concentrated storage tank for this test.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Work in the fume cupboard. Always add acid to water when diluting, never the reverse.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For the volume per volume method, pipette the aliquot; for weight per volume, weigh it on the analytical balance.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phenolphthalein indicator.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Titrate with standardised NaOH to the first permanent pink.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titre and calculate strength on the basis the method calls for.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the Hanna HI902C is used, run the ported method and confirm the endpoint against a manual titration once per week.</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any batch outside the target range before it is dosed.</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KBK-MIR-MP-PRO-MET-SOP-0041 Titrasi Asam Sulfat volume per volume for purity and SOP-0042 weight per volume,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Hanna HI902C automatic titrator</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SWI-PRO-MET-205-003  ·  Sulphuric Acid Strength Titration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