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Carbon Adsorption Capacity and Isotherm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the equilibrium loading capacity of the activated carbon in use.</w:t>
      </w:r>
    </w:p>
    <w:p>
      <w:pPr>
        <w:spacing w:after="60" w:before="0" w:line="245"/>
      </w:pPr>
      <w:r>
        <w:rPr>
          <w:rFonts w:ascii="Calibri" w:cs="Calibri" w:eastAsia="Calibri" w:hAnsi="Calibri"/>
          <w:sz w:val="17"/>
          <w:szCs w:val="17"/>
        </w:rPr>
        <w:t xml:space="preserve">Capacity falls with fouling and with regeneration cycles. Falling capacity is the reason a CIL circuit quietly stops working.</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Monthly, and on every new carbon delivery.</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SWI-PRO-MET-205-010 in HM-MMM-WHS-REG-XXX-R00-SWI-SWMS, tab SWI-MET. The matching hazard analysis is JSEA-PRO-MET-205-010.</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JSEA-PRO-MET-205-010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JSEA-PRO-MET-205-010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Bottle roller</w:t>
      </w:r>
    </w:p>
    <w:p>
      <w:pPr>
        <w:pStyle w:val="ListParagraph"/>
        <w:numPr>
          <w:ilvl w:val="0"/>
          <w:numId w:val="1"/>
        </w:numPr>
        <w:spacing w:after="60" w:line="245"/>
      </w:pPr>
      <w:r>
        <w:rPr>
          <w:rFonts w:ascii="Calibri" w:cs="Calibri" w:eastAsia="Calibri" w:hAnsi="Calibri"/>
          <w:sz w:val="17"/>
          <w:szCs w:val="17"/>
        </w:rPr>
        <w:t xml:space="preserve">Bottles</w:t>
      </w:r>
    </w:p>
    <w:p>
      <w:pPr>
        <w:pStyle w:val="ListParagraph"/>
        <w:numPr>
          <w:ilvl w:val="0"/>
          <w:numId w:val="1"/>
        </w:numPr>
        <w:spacing w:after="60" w:line="245"/>
      </w:pPr>
      <w:r>
        <w:rPr>
          <w:rFonts w:ascii="Calibri" w:cs="Calibri" w:eastAsia="Calibri" w:hAnsi="Calibri"/>
          <w:sz w:val="17"/>
          <w:szCs w:val="17"/>
        </w:rPr>
        <w:t xml:space="preserve">Gold solution at known concentrations</w:t>
      </w:r>
    </w:p>
    <w:p>
      <w:pPr>
        <w:pStyle w:val="ListParagraph"/>
        <w:numPr>
          <w:ilvl w:val="0"/>
          <w:numId w:val="1"/>
        </w:numPr>
        <w:spacing w:after="60" w:line="245"/>
      </w:pPr>
      <w:r>
        <w:rPr>
          <w:rFonts w:ascii="Calibri" w:cs="Calibri" w:eastAsia="Calibri" w:hAnsi="Calibri"/>
          <w:sz w:val="17"/>
          <w:szCs w:val="17"/>
        </w:rPr>
        <w:t xml:space="preserve">Carbon samples</w:t>
      </w:r>
    </w:p>
    <w:p>
      <w:pPr>
        <w:pStyle w:val="ListParagraph"/>
        <w:numPr>
          <w:ilvl w:val="0"/>
          <w:numId w:val="1"/>
        </w:numPr>
        <w:spacing w:after="60" w:line="245"/>
      </w:pPr>
      <w:r>
        <w:rPr>
          <w:rFonts w:ascii="Calibri" w:cs="Calibri" w:eastAsia="Calibri" w:hAnsi="Calibri"/>
          <w:sz w:val="17"/>
          <w:szCs w:val="17"/>
        </w:rPr>
        <w:t xml:space="preserve">Screens</w:t>
      </w:r>
    </w:p>
    <w:p>
      <w:pPr>
        <w:pStyle w:val="ListParagraph"/>
        <w:numPr>
          <w:ilvl w:val="0"/>
          <w:numId w:val="1"/>
        </w:numPr>
        <w:spacing w:after="60" w:line="245"/>
      </w:pPr>
      <w:r>
        <w:rPr>
          <w:rFonts w:ascii="Calibri" w:cs="Calibri" w:eastAsia="Calibri" w:hAnsi="Calibri"/>
          <w:sz w:val="17"/>
          <w:szCs w:val="17"/>
        </w:rPr>
        <w:t xml:space="preserve">Balance</w:t>
      </w:r>
    </w:p>
    <w:p>
      <w:pPr>
        <w:pStyle w:val="ListParagraph"/>
        <w:numPr>
          <w:ilvl w:val="0"/>
          <w:numId w:val="1"/>
        </w:numPr>
        <w:spacing w:after="60" w:line="245"/>
      </w:pPr>
      <w:r>
        <w:rPr>
          <w:rFonts w:ascii="Calibri" w:cs="Calibri" w:eastAsia="Calibri" w:hAnsi="Calibri"/>
          <w:sz w:val="17"/>
          <w:szCs w:val="17"/>
        </w:rPr>
        <w:t xml:space="preserve">Filter apparatus</w:t>
      </w:r>
    </w:p>
    <w:p>
      <w:pPr>
        <w:pStyle w:val="ListParagraph"/>
        <w:numPr>
          <w:ilvl w:val="0"/>
          <w:numId w:val="1"/>
        </w:numPr>
        <w:spacing w:after="60" w:line="245"/>
      </w:pPr>
      <w:r>
        <w:rPr>
          <w:rFonts w:ascii="Calibri" w:cs="Calibri" w:eastAsia="Calibri" w:hAnsi="Calibri"/>
          <w:sz w:val="17"/>
          <w:szCs w:val="17"/>
        </w:rPr>
        <w:t xml:space="preserve">Fume cupboard</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Prepare gold solutions across the concentration range the isotherm needs.</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Charge each bottle with the same mass of carbon and a different solution concentration.</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Roll for long enough to reach equilibrium - the period the method sets, not until convenient.</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Separate, wash and assay the carbon and the residual solution from each bottle.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Plot carbon loading against equilibrium solution concentration to give the isotherm.</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Compare against fresh carbon and against the previous month's result on the same carbon.</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the capacity and the activity trend against regeneration cycles.</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KBK-MIR-MP-PRO-OPE-SOP-0007 Pengujian Kapasitas Adsorpsi Karbon</w:t>
      </w:r>
    </w:p>
    <w:p>
      <w:pPr>
        <w:pStyle w:val="ListParagraph"/>
        <w:numPr>
          <w:ilvl w:val="0"/>
          <w:numId w:val="1"/>
        </w:numPr>
        <w:spacing w:after="60" w:line="245"/>
      </w:pPr>
      <w:r>
        <w:rPr>
          <w:rFonts w:ascii="Calibri" w:cs="Calibri" w:eastAsia="Calibri" w:hAnsi="Calibri"/>
          <w:sz w:val="17"/>
          <w:szCs w:val="17"/>
        </w:rPr>
        <w:t xml:space="preserve">KBK-MIR-MP-PRO-MET-SOP-0018 Uji Ekuilibrium Karbon, received 11 Aug 2026 - the equilibrium and isotherm half</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SWI-PRO-MET-205-010  ·  Carbon Adsorption Capacity and Isotherm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