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Resin Adsorption Capacity and Kinetics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ISSUED BUT NOT FOR USE. This document is a placeholder against the register line so the line is not empty. It cannot be used until the named input arrives - see the folder README for the blocker and what closes it.</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the loading capacity and adsorption rate of the GG1200M and GG1200C resins.</w:t>
      </w:r>
    </w:p>
    <w:p>
      <w:pPr>
        <w:spacing w:after="60" w:before="0" w:line="245"/>
      </w:pPr>
      <w:r>
        <w:rPr>
          <w:rFonts w:ascii="Calibri" w:cs="Calibri" w:eastAsia="Calibri" w:hAnsi="Calibri"/>
          <w:sz w:val="17"/>
          <w:szCs w:val="17"/>
        </w:rPr>
        <w:t xml:space="preserve">Resin capacity is the design basis of the whole ReCYN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To be set once the vendor data arrives.</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SWI-PRO-MET-205-012 in HM-MMM-WHS-REG-XXX-R00-SWI-SWMS, tab SWI-MET. The matching hazard analysis is JSEA-PRO-MET-205-012.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Bottle roller</w:t>
      </w:r>
    </w:p>
    <w:p>
      <w:pPr>
        <w:pStyle w:val="ListParagraph"/>
        <w:numPr>
          <w:ilvl w:val="0"/>
          <w:numId w:val="1"/>
        </w:numPr>
        <w:spacing w:after="60" w:line="245"/>
      </w:pPr>
      <w:r>
        <w:rPr>
          <w:rFonts w:ascii="Calibri" w:cs="Calibri" w:eastAsia="Calibri" w:hAnsi="Calibri"/>
          <w:sz w:val="17"/>
          <w:szCs w:val="17"/>
        </w:rPr>
        <w:t xml:space="preserve">Resin samples</w:t>
      </w:r>
    </w:p>
    <w:p>
      <w:pPr>
        <w:pStyle w:val="ListParagraph"/>
        <w:numPr>
          <w:ilvl w:val="0"/>
          <w:numId w:val="1"/>
        </w:numPr>
        <w:spacing w:after="60" w:line="245"/>
      </w:pPr>
      <w:r>
        <w:rPr>
          <w:rFonts w:ascii="Calibri" w:cs="Calibri" w:eastAsia="Calibri" w:hAnsi="Calibri"/>
          <w:sz w:val="17"/>
          <w:szCs w:val="17"/>
        </w:rPr>
        <w:t xml:space="preserve">Screens 0.9 mm</w:t>
      </w:r>
    </w:p>
    <w:p>
      <w:pPr>
        <w:pStyle w:val="ListParagraph"/>
        <w:numPr>
          <w:ilvl w:val="0"/>
          <w:numId w:val="1"/>
        </w:numPr>
        <w:spacing w:after="60" w:line="245"/>
      </w:pPr>
      <w:r>
        <w:rPr>
          <w:rFonts w:ascii="Calibri" w:cs="Calibri" w:eastAsia="Calibri" w:hAnsi="Calibri"/>
          <w:sz w:val="17"/>
          <w:szCs w:val="17"/>
        </w:rPr>
        <w:t xml:space="preserve">Solutions at known metal and cyanide concentration</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This task cannot be completed. See the folder README for the blocker.</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The document is issued so the register line is not empty, and is marked NOT FOR USE.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 SOP-PROC-CNREC-01 and -12, received 11 Aug 2026 - operating loading and conditioning practice</w:t>
      </w:r>
    </w:p>
    <w:p>
      <w:pPr>
        <w:pStyle w:val="ListParagraph"/>
        <w:numPr>
          <w:ilvl w:val="0"/>
          <w:numId w:val="1"/>
        </w:numPr>
        <w:spacing w:after="60" w:line="245"/>
      </w:pPr>
      <w:r>
        <w:rPr>
          <w:rFonts w:ascii="Calibri" w:cs="Calibri" w:eastAsia="Calibri" w:hAnsi="Calibri"/>
          <w:sz w:val="17"/>
          <w:szCs w:val="17"/>
        </w:rPr>
        <w:t xml:space="preserve">No Goldquip resin performance data held</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SWI-PRO-MET-205-012  ·  Resin Adsorption Capacity and Kinetics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