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Elution Efficiency and Barren Resin Loading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This document is a placeholder against the register line so the line is not empty. It cannot be used until the named input arrives - see the folder README for the blocker and what closes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how completely the elution circuit strips the resin, at the bench.</w:t>
      </w:r>
    </w:p>
    <w:p>
      <w:pPr>
        <w:spacing w:after="60" w:before="0" w:line="245"/>
      </w:pPr>
      <w:r>
        <w:rPr>
          <w:rFonts w:ascii="Calibri" w:cs="Calibri" w:eastAsia="Calibri" w:hAnsi="Calibri"/>
          <w:sz w:val="17"/>
          <w:szCs w:val="17"/>
        </w:rPr>
        <w:t xml:space="preserve">Barren resin loading is to the resin circuit what barren carbon is to the CIL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SWI-PRO-MET-205-013 in HM-MMM-WHS-REG-XXX-R00-SWI-SWMS, tab SWI-MET. The matching hazard analysis is JSEA-PRO-MET-205-013.</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JSEA-PRO-MET-205-013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hot solution or hot surface at the elution, stripping or regeneration circuits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Confirm the circuit is not on a heating cycle before sampling. Heat-resistant gloves and face shield. Allow the sample line to flush and cool before collecting. Do not sample a column under pressure.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JSEA-PRO-MET-205-013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Bench elution column</w:t>
      </w:r>
    </w:p>
    <w:p>
      <w:pPr>
        <w:pStyle w:val="ListParagraph"/>
        <w:numPr>
          <w:ilvl w:val="0"/>
          <w:numId w:val="1"/>
        </w:numPr>
        <w:spacing w:after="60" w:line="245"/>
      </w:pPr>
      <w:r>
        <w:rPr>
          <w:rFonts w:ascii="Calibri" w:cs="Calibri" w:eastAsia="Calibri" w:hAnsi="Calibri"/>
          <w:sz w:val="17"/>
          <w:szCs w:val="17"/>
        </w:rPr>
        <w:t xml:space="preserve">Eluant solutions</w:t>
      </w:r>
    </w:p>
    <w:p>
      <w:pPr>
        <w:pStyle w:val="ListParagraph"/>
        <w:numPr>
          <w:ilvl w:val="0"/>
          <w:numId w:val="1"/>
        </w:numPr>
        <w:spacing w:after="60" w:line="245"/>
      </w:pPr>
      <w:r>
        <w:rPr>
          <w:rFonts w:ascii="Calibri" w:cs="Calibri" w:eastAsia="Calibri" w:hAnsi="Calibri"/>
          <w:sz w:val="17"/>
          <w:szCs w:val="17"/>
        </w:rPr>
        <w:t xml:space="preserve">Heating</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task cannot be completed. See the folder README for the blocker.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SOP-PROC-CNREC-02 Cyanide elution and CNREC-05 Metal elution, received 11 Aug 2026 - operating elution conditions from a working plant, usable as the test target</w:t>
      </w:r>
    </w:p>
    <w:p>
      <w:pPr>
        <w:pStyle w:val="ListParagraph"/>
        <w:numPr>
          <w:ilvl w:val="0"/>
          <w:numId w:val="1"/>
        </w:numPr>
        <w:spacing w:after="60" w:line="245"/>
      </w:pPr>
      <w:r>
        <w:rPr>
          <w:rFonts w:ascii="Calibri" w:cs="Calibri" w:eastAsia="Calibri" w:hAnsi="Calibri"/>
          <w:sz w:val="17"/>
          <w:szCs w:val="17"/>
        </w:rPr>
        <w:t xml:space="preserve">No Goldquip resin elution performance data held</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SWI-PRO-MET-205-013  ·  Resin Elution Efficiency and Barren Resin Loading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