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Resin Fouling, Osmotic Shock and Bead Integrity Assessment</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SWI-PRO-MET-205-014</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JSEA-PRO-MET-205-014</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205  Met Lab -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HM-PRC-VXX-PRO209  Metallurgical Laboratory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Operating</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Assess resin condition - fouling, osmotic damage and bead breakage.</w:t>
      </w:r>
    </w:p>
    <w:p>
      <w:pPr>
        <w:spacing w:after="60" w:before="0" w:line="245"/>
      </w:pPr>
      <w:r>
        <w:rPr>
          <w:rFonts w:ascii="Calibri" w:cs="Calibri" w:eastAsia="Calibri" w:hAnsi="Calibri"/>
          <w:sz w:val="17"/>
          <w:szCs w:val="17"/>
        </w:rPr>
        <w:t xml:space="preserve">Resin is the most expensive consumable on the circuit and the damage is cumulative and irreversible.</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Met lab bench</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Physical testwork bench and instrument</w:t>
            </w:r>
          </w:p>
        </w:tc>
      </w:tr>
    </w:tbl>
    <w:p>
      <w:pPr>
        <w:spacing w:after="60" w:before="0" w:line="245"/>
      </w:pPr>
    </w:p>
    <w:p>
      <w:pPr>
        <w:spacing w:after="60" w:before="0" w:line="245"/>
      </w:pPr>
      <w:r>
        <w:rPr>
          <w:rFonts w:ascii="Calibri" w:cs="Calibri" w:eastAsia="Calibri" w:hAnsi="Calibri"/>
          <w:sz w:val="17"/>
          <w:szCs w:val="17"/>
        </w:rPr>
        <w:t xml:space="preserve">Frequency: Monthly, and after any osmotic shock event.</w:t>
      </w:r>
    </w:p>
    <w:p>
      <w:pPr>
        <w:spacing w:after="60" w:before="0" w:line="245"/>
      </w:pPr>
      <w:r>
        <w:rPr>
          <w:rFonts w:ascii="Calibri" w:cs="Calibri" w:eastAsia="Calibri" w:hAnsi="Calibri"/>
          <w:sz w:val="17"/>
          <w:szCs w:val="17"/>
        </w:rPr>
        <w:t xml:space="preserve">This instruction sits under Standard Work Procedure HM-PRC-VXX-PRO209 - Metallurgical Laboratory Chemical and Leach Testwork. Read that procedure before carrying out this task for the first time.</w:t>
      </w:r>
    </w:p>
    <w:p>
      <w:pPr>
        <w:spacing w:after="60" w:before="0" w:line="245"/>
      </w:pPr>
      <w:r>
        <w:rPr>
          <w:rFonts w:ascii="Calibri" w:cs="Calibri" w:eastAsia="Calibri" w:hAnsi="Calibri"/>
          <w:sz w:val="17"/>
          <w:szCs w:val="17"/>
        </w:rPr>
        <w:t xml:space="preserve">Register line: SWI-PRO-MET-205-014 in HM-MMM-WHS-REG-XXX-R00-SWI-SWMS, tab SWI-MET. The matching hazard analysis is JSEA-PRO-MET-205-014.</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JSEA-PRO-MET-205-014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Contact with sulphuric or hydrochloric acid - burn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Full acid PPE including face shield, acid-resistant gloves, apron and boots. Sample drawn only from the designated sample valve. Add acid to water, never the reverse. Safety shower and eyewash within reach and proven flowing. Spill kit at the point.</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Inhalation of acid fume or reagent vapour at the bench</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Work carried out inside the fume cupboard with the sash at the marked working height and the airflow confirmed before starting. Scrubber running and its dosing confirmed. Perchloric work only in the cupboard rated for it, with the washdown routine after every use. No work at an open bench.</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Hearing damage in the mill, screen, compressor and blower areas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Hearing protection mandatory in signed areas. Double protection at the mill and compressor. Time at the point kept to what the task needs.</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JSEA-PRO-MET-205-014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Acid-resistant gloves, apron and face shield</w:t>
      </w:r>
    </w:p>
    <w:p>
      <w:pPr>
        <w:pStyle w:val="ListParagraph"/>
        <w:numPr>
          <w:ilvl w:val="0"/>
          <w:numId w:val="1"/>
        </w:numPr>
        <w:spacing w:after="60" w:line="245"/>
      </w:pPr>
      <w:r>
        <w:rPr>
          <w:rFonts w:ascii="Calibri" w:cs="Calibri" w:eastAsia="Calibri" w:hAnsi="Calibri"/>
          <w:sz w:val="17"/>
          <w:szCs w:val="17"/>
        </w:rPr>
        <w:t xml:space="preserve">Chemical splash goggles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fume cupboard airflow, the scrubber and its dosing are running before any acid or cyanide work at the bench.</w:t>
      </w:r>
    </w:p>
    <w:p>
      <w:pPr>
        <w:pStyle w:val="ListParagraph"/>
        <w:numPr>
          <w:ilvl w:val="0"/>
          <w:numId w:val="1"/>
        </w:numPr>
        <w:spacing w:after="60" w:line="245"/>
      </w:pPr>
      <w:r>
        <w:rPr>
          <w:rFonts w:ascii="Calibri" w:cs="Calibri" w:eastAsia="Calibri" w:hAnsi="Calibri"/>
          <w:sz w:val="17"/>
          <w:szCs w:val="17"/>
        </w:rPr>
        <w:t xml:space="preserve">Confirm the safety shower and eyewash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instrument or balance is within its calibration or verification interval.</w:t>
      </w:r>
    </w:p>
    <w:p>
      <w:pPr>
        <w:pStyle w:val="ListParagraph"/>
        <w:numPr>
          <w:ilvl w:val="0"/>
          <w:numId w:val="1"/>
        </w:numPr>
        <w:spacing w:after="60" w:line="245"/>
      </w:pPr>
      <w:r>
        <w:rPr>
          <w:rFonts w:ascii="Calibri" w:cs="Calibri" w:eastAsia="Calibri" w:hAnsi="Calibri"/>
          <w:sz w:val="17"/>
          <w:szCs w:val="17"/>
        </w:rPr>
        <w:t xml:space="preserve">Confirm the reagents to be used are in date and correctly labelled.</w:t>
      </w:r>
    </w:p>
    <w:p>
      <w:pPr>
        <w:pStyle w:val="ListParagraph"/>
        <w:numPr>
          <w:ilvl w:val="0"/>
          <w:numId w:val="1"/>
        </w:numPr>
        <w:spacing w:after="60" w:line="245"/>
      </w:pPr>
      <w:r>
        <w:rPr>
          <w:rFonts w:ascii="Calibri" w:cs="Calibri" w:eastAsia="Calibri" w:hAnsi="Calibri"/>
          <w:sz w:val="17"/>
          <w:szCs w:val="17"/>
        </w:rPr>
        <w:t xml:space="preserve">Inspect all glassware for chips and cracks and discard anything damaged.</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200 mm sieve set 38 um to 2 mm</w:t>
      </w:r>
    </w:p>
    <w:p>
      <w:pPr>
        <w:pStyle w:val="ListParagraph"/>
        <w:numPr>
          <w:ilvl w:val="0"/>
          <w:numId w:val="1"/>
        </w:numPr>
        <w:spacing w:after="60" w:line="245"/>
      </w:pPr>
      <w:r>
        <w:rPr>
          <w:rFonts w:ascii="Calibri" w:cs="Calibri" w:eastAsia="Calibri" w:hAnsi="Calibri"/>
          <w:sz w:val="17"/>
          <w:szCs w:val="17"/>
        </w:rPr>
        <w:t xml:space="preserve">Ro-Tap RX29</w:t>
      </w:r>
    </w:p>
    <w:p>
      <w:pPr>
        <w:pStyle w:val="ListParagraph"/>
        <w:numPr>
          <w:ilvl w:val="0"/>
          <w:numId w:val="1"/>
        </w:numPr>
        <w:spacing w:after="60" w:line="245"/>
      </w:pPr>
      <w:r>
        <w:rPr>
          <w:rFonts w:ascii="Calibri" w:cs="Calibri" w:eastAsia="Calibri" w:hAnsi="Calibri"/>
          <w:sz w:val="17"/>
          <w:szCs w:val="17"/>
        </w:rPr>
        <w:t xml:space="preserve">Balance</w:t>
      </w:r>
    </w:p>
    <w:p>
      <w:pPr>
        <w:pStyle w:val="ListParagraph"/>
        <w:numPr>
          <w:ilvl w:val="0"/>
          <w:numId w:val="1"/>
        </w:numPr>
        <w:spacing w:after="60" w:line="245"/>
      </w:pPr>
      <w:r>
        <w:rPr>
          <w:rFonts w:ascii="Calibri" w:cs="Calibri" w:eastAsia="Calibri" w:hAnsi="Calibri"/>
          <w:sz w:val="17"/>
          <w:szCs w:val="17"/>
        </w:rPr>
        <w:t xml:space="preserve">Wash bottle</w:t>
      </w:r>
    </w:p>
    <w:p>
      <w:pPr>
        <w:pStyle w:val="ListParagraph"/>
        <w:numPr>
          <w:ilvl w:val="0"/>
          <w:numId w:val="1"/>
        </w:numPr>
        <w:spacing w:after="60" w:line="245"/>
      </w:pPr>
      <w:r>
        <w:rPr>
          <w:rFonts w:ascii="Calibri" w:cs="Calibri" w:eastAsia="Calibri" w:hAnsi="Calibri"/>
          <w:sz w:val="17"/>
          <w:szCs w:val="17"/>
        </w:rPr>
        <w:t xml:space="preserve">Beakers</w:t>
      </w:r>
    </w:p>
    <w:p>
      <w:pPr>
        <w:pStyle w:val="ListParagraph"/>
        <w:numPr>
          <w:ilvl w:val="0"/>
          <w:numId w:val="1"/>
        </w:numPr>
        <w:spacing w:after="60" w:line="245"/>
      </w:pPr>
      <w:r>
        <w:rPr>
          <w:rFonts w:ascii="Calibri" w:cs="Calibri" w:eastAsia="Calibri" w:hAnsi="Calibri"/>
          <w:sz w:val="17"/>
          <w:szCs w:val="17"/>
        </w:rPr>
        <w:t xml:space="preserve">Acid and caustic for the fouling check</w:t>
      </w:r>
    </w:p>
    <w:p>
      <w:pPr>
        <w:pStyle w:val="ListParagraph"/>
        <w:numPr>
          <w:ilvl w:val="0"/>
          <w:numId w:val="1"/>
        </w:numPr>
        <w:spacing w:after="60" w:line="245"/>
      </w:pPr>
      <w:r>
        <w:rPr>
          <w:rFonts w:ascii="Calibri" w:cs="Calibri" w:eastAsia="Calibri" w:hAnsi="Calibri"/>
          <w:sz w:val="17"/>
          <w:szCs w:val="17"/>
        </w:rPr>
        <w:t xml:space="preserve">Fume cupboard</w:t>
      </w:r>
    </w:p>
    <w:p>
      <w:pPr>
        <w:pStyle w:val="Heading1"/>
        <w:spacing w:after="120" w:before="260"/>
      </w:pPr>
      <w:r>
        <w:rPr>
          <w:rFonts w:ascii="Calibri" w:cs="Calibri" w:eastAsia="Calibri" w:hAnsi="Calibri"/>
          <w:b/>
          <w:bCs/>
          <w:color w:val="1F3864"/>
          <w:sz w:val="24"/>
          <w:szCs w:val="24"/>
        </w:rPr>
        <w:t xml:space="preserve">6  STEPS</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Take the resin sample from the transfer stream, not from a settled hopper.</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Wash free of slurry over the retention aperture.</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Run the bead size distribution per the resin PSD method and record the fraction below the retention aperture.</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Count a subsample for whole, cracked and broken beads and report whole bead count as a percentage.</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Inspect for fouling - discolouration, coating and change in bulk density against fresh resin.</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Where fouling is suspected, run the acid and caustic wash sequence at the bench and re-measure capacity against an unwashed split.</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Trend all measures against the conditioning and transfer history.</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Report against the acceptance criteria once Goldquip supplies them - until then, report the trend only.</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Wash down the bench and the fume cupboard working surface.</w:t>
      </w:r>
    </w:p>
    <w:p>
      <w:pPr>
        <w:pStyle w:val="ListParagraph"/>
        <w:numPr>
          <w:ilvl w:val="0"/>
          <w:numId w:val="1"/>
        </w:numPr>
        <w:spacing w:after="60" w:line="245"/>
      </w:pPr>
      <w:r>
        <w:rPr>
          <w:rFonts w:ascii="Calibri" w:cs="Calibri" w:eastAsia="Calibri" w:hAnsi="Calibri"/>
          <w:sz w:val="17"/>
          <w:szCs w:val="17"/>
        </w:rPr>
        <w:t xml:space="preserve">Clean glassware and return it to the drying rack.</w:t>
      </w:r>
    </w:p>
    <w:p>
      <w:pPr>
        <w:pStyle w:val="ListParagraph"/>
        <w:numPr>
          <w:ilvl w:val="0"/>
          <w:numId w:val="1"/>
        </w:numPr>
        <w:spacing w:after="60" w:line="245"/>
      </w:pPr>
      <w:r>
        <w:rPr>
          <w:rFonts w:ascii="Calibri" w:cs="Calibri" w:eastAsia="Calibri" w:hAnsi="Calibri"/>
          <w:sz w:val="17"/>
          <w:szCs w:val="17"/>
        </w:rPr>
        <w:t xml:space="preserve">Dispose of residues to the correct waste stream - cyanide-bearing effluent does NOT go to the general drain.</w:t>
      </w:r>
    </w:p>
    <w:p>
      <w:pPr>
        <w:pStyle w:val="ListParagraph"/>
        <w:numPr>
          <w:ilvl w:val="0"/>
          <w:numId w:val="1"/>
        </w:numPr>
        <w:spacing w:after="60" w:line="245"/>
      </w:pPr>
      <w:r>
        <w:rPr>
          <w:rFonts w:ascii="Calibri" w:cs="Calibri" w:eastAsia="Calibri" w:hAnsi="Calibri"/>
          <w:sz w:val="17"/>
          <w:szCs w:val="17"/>
        </w:rPr>
        <w:t xml:space="preserve">Record the result, the method used and the instrument or balance identity.</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KBK-MIR-MP-PRO-MET-SOP-0058 Distribusi Ukuran Partikel Resin, received 11 Aug 2026</w:t>
      </w:r>
    </w:p>
    <w:p>
      <w:pPr>
        <w:pStyle w:val="ListParagraph"/>
        <w:numPr>
          <w:ilvl w:val="0"/>
          <w:numId w:val="1"/>
        </w:numPr>
        <w:spacing w:after="60" w:line="245"/>
      </w:pPr>
      <w:r>
        <w:rPr>
          <w:rFonts w:ascii="Calibri" w:cs="Calibri" w:eastAsia="Calibri" w:hAnsi="Calibri"/>
          <w:sz w:val="17"/>
          <w:szCs w:val="17"/>
        </w:rPr>
        <w:t xml:space="preserve">ILS quotation Q0023979 - 38 um to 2 mm sieve set and Ro-Tap RX29</w:t>
      </w:r>
    </w:p>
    <w:p>
      <w:pPr>
        <w:pStyle w:val="ListParagraph"/>
        <w:numPr>
          <w:ilvl w:val="0"/>
          <w:numId w:val="1"/>
        </w:numPr>
        <w:spacing w:after="60" w:line="245"/>
      </w:pPr>
      <w:r>
        <w:rPr>
          <w:rFonts w:ascii="Calibri" w:cs="Calibri" w:eastAsia="Calibri" w:hAnsi="Calibri"/>
          <w:sz w:val="17"/>
          <w:szCs w:val="17"/>
        </w:rPr>
        <w:t xml:space="preserve">RA-01 Resin Loss Register Rev A</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SWI-PRO-MET-205-014  ·  Resin Fouling, Osmotic Shock and Bead Integrity Assessment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