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Cyanide Destruction (Detox) Bench Test</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SWI-PRO-MET-205-015</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JSEA-PRO-MET-205-015</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205  Met Lab -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HM-PRC-VXX-PRO209  Metallurgical Laboratory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9E2A2A" w:sz="18"/>
        </w:tblBorders>
        <w:tblCellMar>
          <w:top w:type="dxa" w:w="90"/>
          <w:left w:type="dxa" w:w="150"/>
          <w:bottom w:type="dxa" w:w="90"/>
          <w:right w:type="dxa" w:w="120"/>
        </w:tblCellMar>
      </w:tblPr>
      <w:tblGrid>
        <w:gridCol w:w="9026"/>
      </w:tblGrid>
      <w:tr>
        <w:tc>
          <w:tcPr>
            <w:tcW w:type="dxa" w:w="9026"/>
            <w:shd w:val="clear" w:color="auto" w:fill="FDECEC"/>
          </w:tcPr>
          <w:p>
            <w:pPr>
              <w:spacing w:after="0" w:before="0" w:line="245"/>
            </w:pPr>
            <w:r>
              <w:rPr>
                <w:rFonts w:ascii="Calibri" w:cs="Calibri" w:eastAsia="Calibri" w:hAnsi="Calibri"/>
                <w:b/>
                <w:bCs/>
                <w:color w:val="9E2A2A"/>
                <w:sz w:val="17"/>
                <w:szCs w:val="17"/>
              </w:rPr>
              <w:t xml:space="preserve">ISSUED BUT NOT FOR USE. This document is a placeholder against the register line so the line is not empty. It cannot be used until the named input arrives - see the folder README for the blocker and what closes it.</w:t>
            </w:r>
          </w:p>
        </w:tc>
      </w:tr>
    </w:tbl>
    <w:p>
      <w:pPr>
        <w:spacing w:after="4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Test cyanide destruction at the bench by the candidate routes - peroxide and SO2/air.</w:t>
      </w:r>
    </w:p>
    <w:p>
      <w:pPr>
        <w:spacing w:after="60" w:before="0" w:line="245"/>
      </w:pPr>
      <w:r>
        <w:rPr>
          <w:rFonts w:ascii="Calibri" w:cs="Calibri" w:eastAsia="Calibri" w:hAnsi="Calibri"/>
          <w:sz w:val="17"/>
          <w:szCs w:val="17"/>
        </w:rPr>
        <w:t xml:space="preserve">The detox route has to be proven at the bench before it is designed, and the tailings cyanide obligation depends on it.</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To be set once the route is chosen.</w:t>
      </w:r>
    </w:p>
    <w:p>
      <w:pPr>
        <w:spacing w:after="60" w:before="0" w:line="245"/>
      </w:pPr>
      <w:r>
        <w:rPr>
          <w:rFonts w:ascii="Calibri" w:cs="Calibri" w:eastAsia="Calibri" w:hAnsi="Calibri"/>
          <w:sz w:val="17"/>
          <w:szCs w:val="17"/>
        </w:rPr>
        <w:t xml:space="preserve">This instruction sits under Standard Work Procedure HM-PRC-VXX-PRO209 - Metallurgical Laboratory Chemical and Leach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SWI-PRO-MET-205-015 in HM-MMM-WHS-REG-XXX-R00-SWI-SWMS, tab SWI-MET. The matching hazard analysis is JSEA-PRO-MET-205-015.</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JSEA-PRO-MET-205-015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Inhalation of acid fume or reagent vapour at the bench</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sulphuric or hydrochloric acid - burn to skin or eyes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Full acid PPE including face shield, acid-resistant gloves, apron and boots. Sample drawn only from the designated sample valve. Add acid to water, never the reverse. Safety shower and eyewash within reach and proven flowing. Spill kit at the point.</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JSEA-PRO-MET-205-015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Acid-resistant gloves, apron and face shield</w:t>
      </w:r>
    </w:p>
    <w:p>
      <w:pPr>
        <w:pStyle w:val="ListParagraph"/>
        <w:numPr>
          <w:ilvl w:val="0"/>
          <w:numId w:val="1"/>
        </w:numPr>
        <w:spacing w:after="60" w:line="245"/>
      </w:pPr>
      <w:r>
        <w:rPr>
          <w:rFonts w:ascii="Calibri" w:cs="Calibri" w:eastAsia="Calibri" w:hAnsi="Calibri"/>
          <w:sz w:val="17"/>
          <w:szCs w:val="17"/>
        </w:rPr>
        <w:t xml:space="preserve">Chemical splash goggles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Reaction vessel with stirring and pH control</w:t>
      </w:r>
    </w:p>
    <w:p>
      <w:pPr>
        <w:pStyle w:val="ListParagraph"/>
        <w:numPr>
          <w:ilvl w:val="0"/>
          <w:numId w:val="1"/>
        </w:numPr>
        <w:spacing w:after="60" w:line="245"/>
      </w:pPr>
      <w:r>
        <w:rPr>
          <w:rFonts w:ascii="Calibri" w:cs="Calibri" w:eastAsia="Calibri" w:hAnsi="Calibri"/>
          <w:sz w:val="17"/>
          <w:szCs w:val="17"/>
        </w:rPr>
        <w:t xml:space="preserve">Peroxide and SO2/air reagents</w:t>
      </w:r>
    </w:p>
    <w:p>
      <w:pPr>
        <w:pStyle w:val="ListParagraph"/>
        <w:numPr>
          <w:ilvl w:val="0"/>
          <w:numId w:val="1"/>
        </w:numPr>
        <w:spacing w:after="60" w:line="245"/>
      </w:pPr>
      <w:r>
        <w:rPr>
          <w:rFonts w:ascii="Calibri" w:cs="Calibri" w:eastAsia="Calibri" w:hAnsi="Calibri"/>
          <w:sz w:val="17"/>
          <w:szCs w:val="17"/>
        </w:rPr>
        <w:t xml:space="preserve">Copper catalyst</w:t>
      </w:r>
    </w:p>
    <w:p>
      <w:pPr>
        <w:pStyle w:val="ListParagraph"/>
        <w:numPr>
          <w:ilvl w:val="0"/>
          <w:numId w:val="1"/>
        </w:numPr>
        <w:spacing w:after="60" w:line="245"/>
      </w:pPr>
      <w:r>
        <w:rPr>
          <w:rFonts w:ascii="Calibri" w:cs="Calibri" w:eastAsia="Calibri" w:hAnsi="Calibri"/>
          <w:sz w:val="17"/>
          <w:szCs w:val="17"/>
        </w:rPr>
        <w:t xml:space="preserve">pH and ORP meters</w:t>
      </w:r>
    </w:p>
    <w:p>
      <w:pPr>
        <w:pStyle w:val="ListParagraph"/>
        <w:numPr>
          <w:ilvl w:val="0"/>
          <w:numId w:val="1"/>
        </w:numPr>
        <w:spacing w:after="60" w:line="245"/>
      </w:pPr>
      <w:r>
        <w:rPr>
          <w:rFonts w:ascii="Calibri" w:cs="Calibri" w:eastAsia="Calibri" w:hAnsi="Calibri"/>
          <w:sz w:val="17"/>
          <w:szCs w:val="17"/>
        </w:rPr>
        <w:t xml:space="preserve">Cyanide analysis set</w:t>
      </w:r>
    </w:p>
    <w:p>
      <w:pPr>
        <w:pStyle w:val="ListParagraph"/>
        <w:numPr>
          <w:ilvl w:val="0"/>
          <w:numId w:val="1"/>
        </w:numPr>
        <w:spacing w:after="60" w:line="245"/>
      </w:pPr>
      <w:r>
        <w:rPr>
          <w:rFonts w:ascii="Calibri" w:cs="Calibri" w:eastAsia="Calibri" w:hAnsi="Calibri"/>
          <w:sz w:val="17"/>
          <w:szCs w:val="17"/>
        </w:rPr>
        <w:t xml:space="preserve">Fume cupboard</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This task cannot be completed. See the folder README for the blocker.</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The document is issued so the register line is not empty, and is marked NOT FOR USE.</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OR-07 Back-up Detox definition memo - the decision is open</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SWI-PRO-MET-205-015  ·  Cyanide Destruction (Detox) Bench Test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