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line="250"/>
      </w:pPr>
      <w:r>
        <w:rPr>
          <w:rFonts w:ascii="Calibri" w:cs="Calibri" w:eastAsia="Calibri" w:hAnsi="Calibri"/>
          <w:b/>
          <w:bCs/>
          <w:color w:val="1F3864"/>
          <w:sz w:val="19"/>
          <w:szCs w:val="19"/>
        </w:rPr>
        <w:t xml:space="preserve">Mt. Morgan SITE WORK INSTRUCTION</w:t>
      </w:r>
    </w:p>
    <w:p>
      <w:pPr>
        <w:pBdr>
          <w:bottom w:val="single" w:sz="8" w:space="4" w:color="1F3864"/>
        </w:pBdr>
        <w:spacing w:after="80" w:before="0" w:line="300"/>
      </w:pPr>
      <w:r>
        <w:rPr>
          <w:rFonts w:ascii="Calibri" w:cs="Calibri" w:eastAsia="Calibri" w:hAnsi="Calibri"/>
          <w:b/>
          <w:bCs/>
          <w:color w:val="1F3864"/>
          <w:sz w:val="32"/>
          <w:szCs w:val="32"/>
        </w:rPr>
        <w:t xml:space="preserve">Preparation of Standard and Working Solutions</w:t>
      </w:r>
    </w:p>
    <w:p>
      <w:pPr>
        <w:spacing w:after="140" w:before="0" w:line="245"/>
      </w:pPr>
      <w:r>
        <w:rPr>
          <w:rFonts w:ascii="Calibri" w:cs="Calibri" w:eastAsia="Calibri" w:hAnsi="Calibri"/>
          <w:color w:val="555555"/>
          <w:sz w:val="17"/>
          <w:szCs w:val="17"/>
        </w:rPr>
        <w:t xml:space="preserve">Standard Work Instruction  ·  Heritage Minerals  ·  Mt. Morgan Processing Plant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Document number</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SWI-PRO-MET-205-017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JSEA reference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JSEA-PRO-MET-205-017</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Area</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205  Met Lab -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Parent procedure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HM-PRC-VXX-PRO209  Metallurgical Laboratory Chemical and Leach Testwork</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Classification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Safety-critical</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Revision</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Rev A</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Date</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11 August 2026</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Prepared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GGT (cost code 4034-033)</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Reviewed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r>
        <w:tc>
          <w:tcPr>
            <w:tcW w:type="dxa" w:w="2200"/>
            <w:shd w:val="clear" w:color="auto" w:fill="F2F5FA"/>
            <w:tcMar>
              <w:top w:type="dxa" w:w="55"/>
              <w:left w:type="dxa" w:w="85"/>
              <w:bottom w:type="dxa" w:w="55"/>
              <w:right w:type="dxa" w:w="85"/>
            </w:tcMar>
          </w:tcPr>
          <w:p>
            <w:pPr>
              <w:spacing w:after="0" w:line="235"/>
            </w:pPr>
            <w:r>
              <w:rPr>
                <w:rFonts w:ascii="Calibri" w:cs="Calibri" w:eastAsia="Calibri" w:hAnsi="Calibri"/>
                <w:b/>
                <w:bCs/>
                <w:sz w:val="17"/>
                <w:szCs w:val="17"/>
              </w:rPr>
              <w:t xml:space="preserve">Approved by</w:t>
            </w:r>
          </w:p>
        </w:tc>
        <w:tc>
          <w:tcPr>
            <w:tcW w:type="dxa" w:w="6826"/>
            <w:tcMar>
              <w:top w:type="dxa" w:w="55"/>
              <w:left w:type="dxa" w:w="85"/>
              <w:bottom w:type="dxa" w:w="55"/>
              <w:right w:type="dxa" w:w="85"/>
            </w:tcMar>
          </w:tcPr>
          <w:p>
            <w:pPr>
              <w:spacing w:after="0" w:line="235"/>
            </w:pPr>
            <w:r>
              <w:rPr>
                <w:rFonts w:ascii="Calibri" w:cs="Calibri" w:eastAsia="Calibri" w:hAnsi="Calibri"/>
                <w:sz w:val="17"/>
                <w:szCs w:val="17"/>
              </w:rPr>
              <w:t xml:space="preserve">________________________</w:t>
            </w:r>
          </w:p>
        </w:tc>
      </w:tr>
    </w:tbl>
    <w:p>
      <w:pPr>
        <w:spacing w:after="100" w:before="0" w:line="245"/>
      </w:pPr>
    </w:p>
    <w:p>
      <w:pPr>
        <w:pStyle w:val="Heading1"/>
        <w:spacing w:after="120" w:before="260"/>
      </w:pPr>
      <w:r>
        <w:rPr>
          <w:rFonts w:ascii="Calibri" w:cs="Calibri" w:eastAsia="Calibri" w:hAnsi="Calibri"/>
          <w:b/>
          <w:bCs/>
          <w:color w:val="1F3864"/>
          <w:sz w:val="24"/>
          <w:szCs w:val="24"/>
        </w:rPr>
        <w:t xml:space="preserve">1  TASK AND SCOPE</w:t>
      </w:r>
    </w:p>
    <w:p>
      <w:pPr>
        <w:spacing w:after="60" w:before="0" w:line="245"/>
      </w:pPr>
      <w:r>
        <w:rPr>
          <w:rFonts w:ascii="Calibri" w:cs="Calibri" w:eastAsia="Calibri" w:hAnsi="Calibri"/>
          <w:sz w:val="17"/>
          <w:szCs w:val="17"/>
        </w:rPr>
        <w:t xml:space="preserve">Make up the standard and working solutions the laboratory runs on.</w:t>
      </w:r>
    </w:p>
    <w:p>
      <w:pPr>
        <w:spacing w:after="60" w:before="0" w:line="245"/>
      </w:pPr>
      <w:r>
        <w:rPr>
          <w:rFonts w:ascii="Calibri" w:cs="Calibri" w:eastAsia="Calibri" w:hAnsi="Calibri"/>
          <w:sz w:val="17"/>
          <w:szCs w:val="17"/>
        </w:rPr>
        <w:t xml:space="preserve">Every titration result is only as good as the standard it was titrated against.</w:t>
      </w:r>
    </w:p>
    <w:p>
      <w:pPr>
        <w:spacing w:after="60" w:before="0" w:line="245"/>
      </w:pPr>
      <w:r>
        <w:rPr>
          <w:rFonts w:ascii="Calibri" w:cs="Calibri" w:eastAsia="Calibri" w:hAnsi="Calibri"/>
          <w:sz w:val="17"/>
          <w:szCs w:val="17"/>
        </w:rPr>
        <w:t xml:space="preserve">Points and equipment covered:</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Tag / point</w:t>
            </w:r>
          </w:p>
        </w:tc>
        <w:tc>
          <w:tcPr>
            <w:tcW w:type="dxa" w:w="64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Description</w:t>
            </w:r>
          </w:p>
        </w:tc>
      </w:tr>
      <w:tr>
        <w:tc>
          <w:tcPr>
            <w:tcW w:type="dxa" w:w="2600"/>
            <w:tcMar>
              <w:top w:type="dxa" w:w="55"/>
              <w:left w:type="dxa" w:w="85"/>
              <w:bottom w:type="dxa" w:w="55"/>
              <w:right w:type="dxa" w:w="85"/>
            </w:tcMar>
          </w:tcPr>
          <w:p>
            <w:pPr>
              <w:spacing w:after="0" w:line="235"/>
            </w:pPr>
            <w:r>
              <w:rPr>
                <w:rFonts w:ascii="Calibri" w:cs="Calibri" w:eastAsia="Calibri" w:hAnsi="Calibri"/>
                <w:sz w:val="16"/>
                <w:szCs w:val="16"/>
              </w:rPr>
              <w:t xml:space="preserve">Met lab bench</w:t>
            </w:r>
          </w:p>
        </w:tc>
        <w:tc>
          <w:tcPr>
            <w:tcW w:type="dxa" w:w="6426"/>
            <w:tcMar>
              <w:top w:type="dxa" w:w="55"/>
              <w:left w:type="dxa" w:w="85"/>
              <w:bottom w:type="dxa" w:w="55"/>
              <w:right w:type="dxa" w:w="85"/>
            </w:tcMar>
          </w:tcPr>
          <w:p>
            <w:pPr>
              <w:spacing w:after="0" w:line="235"/>
            </w:pPr>
            <w:r>
              <w:rPr>
                <w:rFonts w:ascii="Calibri" w:cs="Calibri" w:eastAsia="Calibri" w:hAnsi="Calibri"/>
                <w:sz w:val="16"/>
                <w:szCs w:val="16"/>
              </w:rPr>
              <w:t xml:space="preserve">Physical testwork bench and instrument</w:t>
            </w:r>
          </w:p>
        </w:tc>
      </w:tr>
    </w:tbl>
    <w:p>
      <w:pPr>
        <w:spacing w:after="60" w:before="0" w:line="245"/>
      </w:pPr>
    </w:p>
    <w:p>
      <w:pPr>
        <w:spacing w:after="60" w:before="0" w:line="245"/>
      </w:pPr>
      <w:r>
        <w:rPr>
          <w:rFonts w:ascii="Calibri" w:cs="Calibri" w:eastAsia="Calibri" w:hAnsi="Calibri"/>
          <w:sz w:val="17"/>
          <w:szCs w:val="17"/>
        </w:rPr>
        <w:t xml:space="preserve">Frequency: As the solution register requires; standards re-standardised at the set interval.</w:t>
      </w:r>
    </w:p>
    <w:p>
      <w:pPr>
        <w:spacing w:after="60" w:before="0" w:line="245"/>
      </w:pPr>
      <w:r>
        <w:rPr>
          <w:rFonts w:ascii="Calibri" w:cs="Calibri" w:eastAsia="Calibri" w:hAnsi="Calibri"/>
          <w:sz w:val="17"/>
          <w:szCs w:val="17"/>
        </w:rPr>
        <w:t xml:space="preserve">This instruction sits under Standard Work Procedure HM-PRC-VXX-PRO209 - Metallurgical Laboratory Chemical and Leach Testwork. Read that procedure before carrying out this task for the first time.</w:t>
      </w:r>
    </w:p>
    <w:p>
      <w:pPr>
        <w:spacing w:after="60" w:before="0" w:line="245"/>
      </w:pPr>
      <w:r>
        <w:rPr>
          <w:rFonts w:ascii="Calibri" w:cs="Calibri" w:eastAsia="Calibri" w:hAnsi="Calibri"/>
          <w:sz w:val="17"/>
          <w:szCs w:val="17"/>
        </w:rPr>
        <w:t xml:space="preserve">Register line: SWI-PRO-MET-205-017 in HM-MMM-WHS-REG-XXX-R00-SWI-SWMS, tab SWI-MET. The matching hazard analysis is JSEA-PRO-MET-205-017.</w:t>
      </w:r>
    </w:p>
    <w:p>
      <w:pPr>
        <w:pStyle w:val="Heading1"/>
        <w:spacing w:after="120" w:before="260"/>
      </w:pPr>
      <w:r>
        <w:rPr>
          <w:rFonts w:ascii="Calibri" w:cs="Calibri" w:eastAsia="Calibri" w:hAnsi="Calibri"/>
          <w:b/>
          <w:bCs/>
          <w:color w:val="1F3864"/>
          <w:sz w:val="24"/>
          <w:szCs w:val="24"/>
        </w:rPr>
        <w:t xml:space="preserve">2  WHO MAY DO THIS</w:t>
      </w:r>
    </w:p>
    <w:p>
      <w:pPr>
        <w:pStyle w:val="ListParagraph"/>
        <w:numPr>
          <w:ilvl w:val="0"/>
          <w:numId w:val="1"/>
        </w:numPr>
        <w:spacing w:after="60" w:line="245"/>
      </w:pPr>
      <w:r>
        <w:rPr>
          <w:rFonts w:ascii="Calibri" w:cs="Calibri" w:eastAsia="Calibri" w:hAnsi="Calibri"/>
          <w:sz w:val="17"/>
          <w:szCs w:val="17"/>
        </w:rPr>
        <w:t xml:space="preserve">Trained and signed off against this instruction.</w:t>
      </w:r>
    </w:p>
    <w:p>
      <w:pPr>
        <w:pStyle w:val="ListParagraph"/>
        <w:numPr>
          <w:ilvl w:val="0"/>
          <w:numId w:val="1"/>
        </w:numPr>
        <w:spacing w:after="60" w:line="245"/>
      </w:pPr>
      <w:r>
        <w:rPr>
          <w:rFonts w:ascii="Calibri" w:cs="Calibri" w:eastAsia="Calibri" w:hAnsi="Calibri"/>
          <w:sz w:val="17"/>
          <w:szCs w:val="17"/>
        </w:rPr>
        <w:t xml:space="preserve">Signed on to JSEA JSEA-PRO-MET-205-017 at a communication session.</w:t>
      </w:r>
    </w:p>
    <w:p>
      <w:pPr>
        <w:pStyle w:val="ListParagraph"/>
        <w:numPr>
          <w:ilvl w:val="0"/>
          <w:numId w:val="1"/>
        </w:numPr>
        <w:spacing w:after="60" w:line="245"/>
      </w:pPr>
      <w:r>
        <w:rPr>
          <w:rFonts w:ascii="Calibri" w:cs="Calibri" w:eastAsia="Calibri" w:hAnsi="Calibri"/>
          <w:sz w:val="17"/>
          <w:szCs w:val="17"/>
        </w:rPr>
        <w:t xml:space="preserve">Site inducted, with current cyanide awareness and gas detection competency where the area requires it.</w:t>
      </w:r>
    </w:p>
    <w:p>
      <w:pPr>
        <w:pStyle w:val="ListParagraph"/>
        <w:numPr>
          <w:ilvl w:val="0"/>
          <w:numId w:val="1"/>
        </w:numPr>
        <w:spacing w:after="60" w:line="245"/>
      </w:pPr>
      <w:r>
        <w:rPr>
          <w:rFonts w:ascii="Calibri" w:cs="Calibri" w:eastAsia="Calibri" w:hAnsi="Calibri"/>
          <w:sz w:val="17"/>
          <w:szCs w:val="17"/>
        </w:rPr>
        <w:t xml:space="preserve">Authorised by the Shift Supervisor before the task starts.</w:t>
      </w:r>
    </w:p>
    <w:p>
      <w:pPr>
        <w:spacing w:after="60" w:before="0" w:line="245"/>
      </w:pPr>
      <w:r>
        <w:rPr>
          <w:rFonts w:ascii="Calibri" w:cs="Calibri" w:eastAsia="Calibri" w:hAnsi="Calibri"/>
          <w:b/>
          <w:bCs/>
          <w:sz w:val="17"/>
          <w:szCs w:val="17"/>
        </w:rPr>
        <w:t xml:space="preserve">This is a safety-critical task. It is not carried out alone in a cyanide area, and not without the Shift Supervisor knowing it is in progress.</w:t>
      </w:r>
    </w:p>
    <w:p>
      <w:pPr>
        <w:pStyle w:val="Heading1"/>
        <w:spacing w:after="120" w:before="260"/>
      </w:pPr>
      <w:r>
        <w:rPr>
          <w:rFonts w:ascii="Calibri" w:cs="Calibri" w:eastAsia="Calibri" w:hAnsi="Calibri"/>
          <w:b/>
          <w:bCs/>
          <w:color w:val="1F3864"/>
          <w:sz w:val="24"/>
          <w:szCs w:val="24"/>
        </w:rPr>
        <w:t xml:space="preserve">3  HAZARDS SPECIFIC TO THIS TASK</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6126"/>
      </w:tblGrid>
      <w:tr>
        <w:trPr>
          <w:tblHeader/>
        </w:trPr>
        <w:tc>
          <w:tcPr>
            <w:tcW w:type="dxa" w:w="2900"/>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Hazard</w:t>
            </w:r>
          </w:p>
        </w:tc>
        <w:tc>
          <w:tcPr>
            <w:tcW w:type="dxa" w:w="6126"/>
            <w:shd w:val="clear" w:color="auto" w:fill="1F3864"/>
            <w:tcMar>
              <w:top w:type="dxa" w:w="55"/>
              <w:left w:type="dxa" w:w="85"/>
              <w:bottom w:type="dxa" w:w="55"/>
              <w:right w:type="dxa" w:w="85"/>
            </w:tcMar>
          </w:tcPr>
          <w:p>
            <w:pPr>
              <w:spacing w:after="0" w:line="235"/>
            </w:pPr>
            <w:r>
              <w:rPr>
                <w:rFonts w:ascii="Calibri" w:cs="Calibri" w:eastAsia="Calibri" w:hAnsi="Calibri"/>
                <w:b/>
                <w:bCs/>
                <w:color w:val="FFFFFF"/>
                <w:sz w:val="16"/>
                <w:szCs w:val="16"/>
              </w:rPr>
              <w:t xml:space="preserve">Control</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Contact with sulphuric or hydrochloric acid - burn to skin or eyes</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Full acid PPE including face shield, acid-resistant gloves, apron and boots. Sample drawn only from the designated sample valve. Add acid to water, never the reverse. Safety shower and eyewash within reach and proven flowing. Spill kit at the point.</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Contact with sodium hydroxide solution - burn to skin or eyes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Full chemical PPE including face shield and chemical-resistant gloves. Sample drawn slowly from the designated valve. Safety shower and eyewash within reach and proven flowing.</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Hydrogen cyanide gas released at the open sample point</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Inhalation of acid fume or reagent vapour at the bench</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Work carried out inside the fume cupboard with the sash at the marked working height and the airflow confirmed before starting. Scrubber running and its dosing confirmed. Perchloric work only in the cupboard rated for it, with the washdown routine after every use. No work at an open bench.</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Cuts from broken glassware, and burns from hot glassware</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Glassware inspected for chips and cracks before use and discarded if damaged. Hot glassware handled with tongs or heat-resistant gloves and set down on a heat mat. Broken glass to the sharps bin, never to the general waste or by hand.</w:t>
            </w:r>
          </w:p>
        </w:tc>
      </w:tr>
      <w:tr>
        <w:tc>
          <w:tcPr>
            <w:tcW w:type="dxa" w:w="2900"/>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Cross-contamination from a container or cutter not cleaned between points</w:t>
            </w:r>
          </w:p>
        </w:tc>
        <w:tc>
          <w:tcPr>
            <w:tcW w:type="dxa" w:w="6126"/>
            <w:shd w:val="clear" w:color="auto" w:fill="F2F5FA"/>
            <w:tcMar>
              <w:top w:type="dxa" w:w="55"/>
              <w:left w:type="dxa" w:w="85"/>
              <w:bottom w:type="dxa" w:w="55"/>
              <w:right w:type="dxa" w:w="85"/>
            </w:tcMar>
          </w:tcPr>
          <w:p>
            <w:pPr>
              <w:spacing w:after="0" w:line="235"/>
            </w:pPr>
            <w:r>
              <w:rPr>
                <w:rFonts w:ascii="Calibri" w:cs="Calibri" w:eastAsia="Calibri" w:hAnsi="Calibri"/>
                <w:sz w:val="16"/>
                <w:szCs w:val="16"/>
              </w:rPr>
              <w:t xml:space="preserve">Bucket, container, cutter and sieve rinsed with process water and then with the stream being sampled, and the rinse discarded, before every sample. Dedicated containers for high-grade streams. Labels checked against the schedule before handover.</w:t>
            </w:r>
          </w:p>
        </w:tc>
      </w:tr>
      <w:tr>
        <w:tc>
          <w:tcPr>
            <w:tcW w:type="dxa" w:w="2900"/>
            <w:tcMar>
              <w:top w:type="dxa" w:w="55"/>
              <w:left w:type="dxa" w:w="85"/>
              <w:bottom w:type="dxa" w:w="55"/>
              <w:right w:type="dxa" w:w="85"/>
            </w:tcMar>
          </w:tcPr>
          <w:p>
            <w:pPr>
              <w:spacing w:after="0" w:line="235"/>
            </w:pPr>
            <w:r>
              <w:rPr>
                <w:rFonts w:ascii="Calibri" w:cs="Calibri" w:eastAsia="Calibri" w:hAnsi="Calibri"/>
                <w:sz w:val="16"/>
                <w:szCs w:val="16"/>
              </w:rPr>
              <w:t xml:space="preserve">Non-representative sample leading to a wrong process decision</w:t>
            </w:r>
          </w:p>
        </w:tc>
        <w:tc>
          <w:tcPr>
            <w:tcW w:type="dxa" w:w="6126"/>
            <w:tcMar>
              <w:top w:type="dxa" w:w="55"/>
              <w:left w:type="dxa" w:w="85"/>
              <w:bottom w:type="dxa" w:w="55"/>
              <w:right w:type="dxa" w:w="85"/>
            </w:tcMar>
          </w:tcPr>
          <w:p>
            <w:pPr>
              <w:spacing w:after="0" w:line="235"/>
            </w:pPr>
            <w:r>
              <w:rPr>
                <w:rFonts w:ascii="Calibri" w:cs="Calibri" w:eastAsia="Calibri" w:hAnsi="Calibri"/>
                <w:sz w:val="16"/>
                <w:szCs w:val="16"/>
              </w:rPr>
              <w:t xml:space="preserve">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tc>
      </w:tr>
    </w:tbl>
    <w:p>
      <w:pPr>
        <w:spacing w:after="60" w:before="0" w:line="245"/>
      </w:pPr>
    </w:p>
    <w:p>
      <w:pPr>
        <w:spacing w:after="60" w:before="0" w:line="245"/>
      </w:pPr>
      <w:r>
        <w:rPr>
          <w:rFonts w:ascii="Calibri" w:cs="Calibri" w:eastAsia="Calibri" w:hAnsi="Calibri"/>
          <w:i/>
          <w:iCs/>
          <w:sz w:val="17"/>
          <w:szCs w:val="17"/>
        </w:rPr>
        <w:t xml:space="preserve">The full step-by-step hazard analysis, with the risk ranking, is in JSEA JSEA-PRO-MET-205-017 Section 4.</w:t>
      </w:r>
    </w:p>
    <w:p>
      <w:pPr>
        <w:pStyle w:val="Heading1"/>
        <w:spacing w:after="120" w:before="260"/>
      </w:pPr>
      <w:r>
        <w:rPr>
          <w:rFonts w:ascii="Calibri" w:cs="Calibri" w:eastAsia="Calibri" w:hAnsi="Calibri"/>
          <w:b/>
          <w:bCs/>
          <w:color w:val="1F3864"/>
          <w:sz w:val="24"/>
          <w:szCs w:val="24"/>
        </w:rPr>
        <w:t xml:space="preserve">4  PPE</w:t>
      </w:r>
    </w:p>
    <w:p>
      <w:pPr>
        <w:pStyle w:val="ListParagraph"/>
        <w:numPr>
          <w:ilvl w:val="0"/>
          <w:numId w:val="1"/>
        </w:numPr>
        <w:spacing w:after="60" w:line="245"/>
      </w:pPr>
      <w:r>
        <w:rPr>
          <w:rFonts w:ascii="Calibri" w:cs="Calibri" w:eastAsia="Calibri" w:hAnsi="Calibri"/>
          <w:sz w:val="17"/>
          <w:szCs w:val="17"/>
        </w:rPr>
        <w:t xml:space="preserve">Hard hat</w:t>
      </w:r>
    </w:p>
    <w:p>
      <w:pPr>
        <w:pStyle w:val="ListParagraph"/>
        <w:numPr>
          <w:ilvl w:val="0"/>
          <w:numId w:val="1"/>
        </w:numPr>
        <w:spacing w:after="60" w:line="245"/>
      </w:pPr>
      <w:r>
        <w:rPr>
          <w:rFonts w:ascii="Calibri" w:cs="Calibri" w:eastAsia="Calibri" w:hAnsi="Calibri"/>
          <w:sz w:val="17"/>
          <w:szCs w:val="17"/>
        </w:rPr>
        <w:t xml:space="preserve">Safety glasses</w:t>
      </w:r>
    </w:p>
    <w:p>
      <w:pPr>
        <w:pStyle w:val="ListParagraph"/>
        <w:numPr>
          <w:ilvl w:val="0"/>
          <w:numId w:val="1"/>
        </w:numPr>
        <w:spacing w:after="60" w:line="245"/>
      </w:pPr>
      <w:r>
        <w:rPr>
          <w:rFonts w:ascii="Calibri" w:cs="Calibri" w:eastAsia="Calibri" w:hAnsi="Calibri"/>
          <w:sz w:val="17"/>
          <w:szCs w:val="17"/>
        </w:rPr>
        <w:t xml:space="preserve">High-visibility long-sleeved shirt and long trousers</w:t>
      </w:r>
    </w:p>
    <w:p>
      <w:pPr>
        <w:pStyle w:val="ListParagraph"/>
        <w:numPr>
          <w:ilvl w:val="0"/>
          <w:numId w:val="1"/>
        </w:numPr>
        <w:spacing w:after="60" w:line="245"/>
      </w:pPr>
      <w:r>
        <w:rPr>
          <w:rFonts w:ascii="Calibri" w:cs="Calibri" w:eastAsia="Calibri" w:hAnsi="Calibri"/>
          <w:sz w:val="17"/>
          <w:szCs w:val="17"/>
        </w:rPr>
        <w:t xml:space="preserve">Safety boots</w:t>
      </w:r>
    </w:p>
    <w:p>
      <w:pPr>
        <w:pStyle w:val="ListParagraph"/>
        <w:numPr>
          <w:ilvl w:val="0"/>
          <w:numId w:val="1"/>
        </w:numPr>
        <w:spacing w:after="60" w:line="245"/>
      </w:pPr>
      <w:r>
        <w:rPr>
          <w:rFonts w:ascii="Calibri" w:cs="Calibri" w:eastAsia="Calibri" w:hAnsi="Calibri"/>
          <w:sz w:val="17"/>
          <w:szCs w:val="17"/>
        </w:rPr>
        <w:t xml:space="preserve">Gloves appropriate to the task</w:t>
      </w:r>
    </w:p>
    <w:p>
      <w:pPr>
        <w:pStyle w:val="ListParagraph"/>
        <w:numPr>
          <w:ilvl w:val="0"/>
          <w:numId w:val="1"/>
        </w:numPr>
        <w:spacing w:after="60" w:line="245"/>
      </w:pPr>
      <w:r>
        <w:rPr>
          <w:rFonts w:ascii="Calibri" w:cs="Calibri" w:eastAsia="Calibri" w:hAnsi="Calibri"/>
          <w:sz w:val="17"/>
          <w:szCs w:val="17"/>
        </w:rPr>
        <w:t xml:space="preserve">Personal HCN gas monitor, calibrated and in test date</w:t>
      </w:r>
    </w:p>
    <w:p>
      <w:pPr>
        <w:pStyle w:val="ListParagraph"/>
        <w:numPr>
          <w:ilvl w:val="0"/>
          <w:numId w:val="1"/>
        </w:numPr>
        <w:spacing w:after="60" w:line="245"/>
      </w:pPr>
      <w:r>
        <w:rPr>
          <w:rFonts w:ascii="Calibri" w:cs="Calibri" w:eastAsia="Calibri" w:hAnsi="Calibri"/>
          <w:sz w:val="17"/>
          <w:szCs w:val="17"/>
        </w:rPr>
        <w:t xml:space="preserve">Chemical splash goggles and face shield</w:t>
      </w:r>
    </w:p>
    <w:p>
      <w:pPr>
        <w:pStyle w:val="ListParagraph"/>
        <w:numPr>
          <w:ilvl w:val="0"/>
          <w:numId w:val="1"/>
        </w:numPr>
        <w:spacing w:after="60" w:line="245"/>
      </w:pPr>
      <w:r>
        <w:rPr>
          <w:rFonts w:ascii="Calibri" w:cs="Calibri" w:eastAsia="Calibri" w:hAnsi="Calibri"/>
          <w:sz w:val="17"/>
          <w:szCs w:val="17"/>
        </w:rPr>
        <w:t xml:space="preserve">Nitrile rubber gloves</w:t>
      </w:r>
    </w:p>
    <w:p>
      <w:pPr>
        <w:pStyle w:val="ListParagraph"/>
        <w:numPr>
          <w:ilvl w:val="0"/>
          <w:numId w:val="1"/>
        </w:numPr>
        <w:spacing w:after="60" w:line="245"/>
      </w:pPr>
      <w:r>
        <w:rPr>
          <w:rFonts w:ascii="Calibri" w:cs="Calibri" w:eastAsia="Calibri" w:hAnsi="Calibri"/>
          <w:sz w:val="17"/>
          <w:szCs w:val="17"/>
        </w:rPr>
        <w:t xml:space="preserve">Nitrile PVC boots</w:t>
      </w:r>
    </w:p>
    <w:p>
      <w:pPr>
        <w:pStyle w:val="ListParagraph"/>
        <w:numPr>
          <w:ilvl w:val="0"/>
          <w:numId w:val="1"/>
        </w:numPr>
        <w:spacing w:after="60" w:line="245"/>
      </w:pPr>
      <w:r>
        <w:rPr>
          <w:rFonts w:ascii="Calibri" w:cs="Calibri" w:eastAsia="Calibri" w:hAnsi="Calibri"/>
          <w:sz w:val="17"/>
          <w:szCs w:val="17"/>
        </w:rPr>
        <w:t xml:space="preserve">Chemical resistant suit</w:t>
      </w:r>
    </w:p>
    <w:p>
      <w:pPr>
        <w:pStyle w:val="ListParagraph"/>
        <w:numPr>
          <w:ilvl w:val="0"/>
          <w:numId w:val="1"/>
        </w:numPr>
        <w:spacing w:after="60" w:line="245"/>
      </w:pPr>
      <w:r>
        <w:rPr>
          <w:rFonts w:ascii="Calibri" w:cs="Calibri" w:eastAsia="Calibri" w:hAnsi="Calibri"/>
          <w:sz w:val="17"/>
          <w:szCs w:val="17"/>
        </w:rPr>
        <w:t xml:space="preserve">Full or half gas mask with A2B2E2K2P3 cartridge, carried and available for immediate use</w:t>
      </w:r>
    </w:p>
    <w:p>
      <w:pPr>
        <w:pStyle w:val="ListParagraph"/>
        <w:numPr>
          <w:ilvl w:val="0"/>
          <w:numId w:val="1"/>
        </w:numPr>
        <w:spacing w:after="60" w:line="245"/>
      </w:pPr>
      <w:r>
        <w:rPr>
          <w:rFonts w:ascii="Calibri" w:cs="Calibri" w:eastAsia="Calibri" w:hAnsi="Calibri"/>
          <w:sz w:val="17"/>
          <w:szCs w:val="17"/>
        </w:rPr>
        <w:t xml:space="preserve">Acid-resistant gloves, apron and face shield</w:t>
      </w:r>
    </w:p>
    <w:p>
      <w:pPr>
        <w:pStyle w:val="ListParagraph"/>
        <w:numPr>
          <w:ilvl w:val="0"/>
          <w:numId w:val="1"/>
        </w:numPr>
        <w:spacing w:after="60" w:line="245"/>
      </w:pPr>
      <w:r>
        <w:rPr>
          <w:rFonts w:ascii="Calibri" w:cs="Calibri" w:eastAsia="Calibri" w:hAnsi="Calibri"/>
          <w:sz w:val="17"/>
          <w:szCs w:val="17"/>
        </w:rPr>
        <w:t xml:space="preserve">Chemical splash goggles</w:t>
      </w:r>
    </w:p>
    <w:p>
      <w:pPr>
        <w:pStyle w:val="Heading1"/>
        <w:spacing w:after="120" w:before="260"/>
      </w:pPr>
      <w:r>
        <w:rPr>
          <w:rFonts w:ascii="Calibri" w:cs="Calibri" w:eastAsia="Calibri" w:hAnsi="Calibri"/>
          <w:b/>
          <w:bCs/>
          <w:color w:val="1F3864"/>
          <w:sz w:val="24"/>
          <w:szCs w:val="24"/>
        </w:rPr>
        <w:t xml:space="preserve">5  BEFORE YOU START</w:t>
      </w:r>
    </w:p>
    <w:p>
      <w:pPr>
        <w:spacing w:after="60" w:before="0" w:line="245"/>
      </w:pPr>
      <w:r>
        <w:rPr>
          <w:rFonts w:ascii="Calibri" w:cs="Calibri" w:eastAsia="Calibri" w:hAnsi="Calibri"/>
          <w:sz w:val="17"/>
          <w:szCs w:val="17"/>
        </w:rPr>
        <w:t xml:space="preserve">Every item below must be true. If one is not, stop and report it.</w:t>
      </w:r>
    </w:p>
    <w:p>
      <w:pPr>
        <w:pStyle w:val="ListParagraph"/>
        <w:numPr>
          <w:ilvl w:val="0"/>
          <w:numId w:val="1"/>
        </w:numPr>
        <w:spacing w:after="60" w:line="245"/>
      </w:pPr>
      <w:r>
        <w:rPr>
          <w:rFonts w:ascii="Calibri" w:cs="Calibri" w:eastAsia="Calibri" w:hAnsi="Calibri"/>
          <w:sz w:val="17"/>
          <w:szCs w:val="17"/>
        </w:rPr>
        <w:t xml:space="preserve">Confirm the fume cupboard airflow, the scrubber and its dosing are running before any acid or cyanide work at the bench.</w:t>
      </w:r>
    </w:p>
    <w:p>
      <w:pPr>
        <w:pStyle w:val="ListParagraph"/>
        <w:numPr>
          <w:ilvl w:val="0"/>
          <w:numId w:val="1"/>
        </w:numPr>
        <w:spacing w:after="60" w:line="245"/>
      </w:pPr>
      <w:r>
        <w:rPr>
          <w:rFonts w:ascii="Calibri" w:cs="Calibri" w:eastAsia="Calibri" w:hAnsi="Calibri"/>
          <w:sz w:val="17"/>
          <w:szCs w:val="17"/>
        </w:rPr>
        <w:t xml:space="preserve">Confirm the safety shower and eyewash are within reach and proven flowing.</w:t>
      </w:r>
    </w:p>
    <w:p>
      <w:pPr>
        <w:pStyle w:val="ListParagraph"/>
        <w:numPr>
          <w:ilvl w:val="0"/>
          <w:numId w:val="1"/>
        </w:numPr>
        <w:spacing w:after="60" w:line="245"/>
      </w:pPr>
      <w:r>
        <w:rPr>
          <w:rFonts w:ascii="Calibri" w:cs="Calibri" w:eastAsia="Calibri" w:hAnsi="Calibri"/>
          <w:sz w:val="17"/>
          <w:szCs w:val="17"/>
        </w:rPr>
        <w:t xml:space="preserve">Confirm the instrument or balance is within its calibration or verification interval.</w:t>
      </w:r>
    </w:p>
    <w:p>
      <w:pPr>
        <w:pStyle w:val="ListParagraph"/>
        <w:numPr>
          <w:ilvl w:val="0"/>
          <w:numId w:val="1"/>
        </w:numPr>
        <w:spacing w:after="60" w:line="245"/>
      </w:pPr>
      <w:r>
        <w:rPr>
          <w:rFonts w:ascii="Calibri" w:cs="Calibri" w:eastAsia="Calibri" w:hAnsi="Calibri"/>
          <w:sz w:val="17"/>
          <w:szCs w:val="17"/>
        </w:rPr>
        <w:t xml:space="preserve">Confirm the reagents to be used are in date and correctly labelled.</w:t>
      </w:r>
    </w:p>
    <w:p>
      <w:pPr>
        <w:pStyle w:val="ListParagraph"/>
        <w:numPr>
          <w:ilvl w:val="0"/>
          <w:numId w:val="1"/>
        </w:numPr>
        <w:spacing w:after="60" w:line="245"/>
      </w:pPr>
      <w:r>
        <w:rPr>
          <w:rFonts w:ascii="Calibri" w:cs="Calibri" w:eastAsia="Calibri" w:hAnsi="Calibri"/>
          <w:sz w:val="17"/>
          <w:szCs w:val="17"/>
        </w:rPr>
        <w:t xml:space="preserve">Inspect all glassware for chips and cracks and discard anything damaged.</w:t>
      </w:r>
    </w:p>
    <w:p>
      <w:pPr>
        <w:spacing w:after="60" w:before="0" w:line="245"/>
      </w:pPr>
      <w:r>
        <w:rPr>
          <w:rFonts w:ascii="Calibri" w:cs="Calibri" w:eastAsia="Calibri" w:hAnsi="Calibri"/>
          <w:sz w:val="17"/>
          <w:szCs w:val="17"/>
        </w:rPr>
        <w:t xml:space="preserve">Equipment required:</w:t>
      </w:r>
    </w:p>
    <w:p>
      <w:pPr>
        <w:pStyle w:val="ListParagraph"/>
        <w:numPr>
          <w:ilvl w:val="0"/>
          <w:numId w:val="1"/>
        </w:numPr>
        <w:spacing w:after="60" w:line="245"/>
      </w:pPr>
      <w:r>
        <w:rPr>
          <w:rFonts w:ascii="Calibri" w:cs="Calibri" w:eastAsia="Calibri" w:hAnsi="Calibri"/>
          <w:sz w:val="17"/>
          <w:szCs w:val="17"/>
        </w:rPr>
        <w:t xml:space="preserve">Analytical balance 0.1 mg</w:t>
      </w:r>
    </w:p>
    <w:p>
      <w:pPr>
        <w:pStyle w:val="ListParagraph"/>
        <w:numPr>
          <w:ilvl w:val="0"/>
          <w:numId w:val="1"/>
        </w:numPr>
        <w:spacing w:after="60" w:line="245"/>
      </w:pPr>
      <w:r>
        <w:rPr>
          <w:rFonts w:ascii="Calibri" w:cs="Calibri" w:eastAsia="Calibri" w:hAnsi="Calibri"/>
          <w:sz w:val="17"/>
          <w:szCs w:val="17"/>
        </w:rPr>
        <w:t xml:space="preserve">Class F1 weight set</w:t>
      </w:r>
    </w:p>
    <w:p>
      <w:pPr>
        <w:pStyle w:val="ListParagraph"/>
        <w:numPr>
          <w:ilvl w:val="0"/>
          <w:numId w:val="1"/>
        </w:numPr>
        <w:spacing w:after="60" w:line="245"/>
      </w:pPr>
      <w:r>
        <w:rPr>
          <w:rFonts w:ascii="Calibri" w:cs="Calibri" w:eastAsia="Calibri" w:hAnsi="Calibri"/>
          <w:sz w:val="17"/>
          <w:szCs w:val="17"/>
        </w:rPr>
        <w:t xml:space="preserve">Volumetric flasks</w:t>
      </w:r>
    </w:p>
    <w:p>
      <w:pPr>
        <w:pStyle w:val="ListParagraph"/>
        <w:numPr>
          <w:ilvl w:val="0"/>
          <w:numId w:val="1"/>
        </w:numPr>
        <w:spacing w:after="60" w:line="245"/>
      </w:pPr>
      <w:r>
        <w:rPr>
          <w:rFonts w:ascii="Calibri" w:cs="Calibri" w:eastAsia="Calibri" w:hAnsi="Calibri"/>
          <w:sz w:val="17"/>
          <w:szCs w:val="17"/>
        </w:rPr>
        <w:t xml:space="preserve">Pipettes</w:t>
      </w:r>
    </w:p>
    <w:p>
      <w:pPr>
        <w:pStyle w:val="ListParagraph"/>
        <w:numPr>
          <w:ilvl w:val="0"/>
          <w:numId w:val="1"/>
        </w:numPr>
        <w:spacing w:after="60" w:line="245"/>
      </w:pPr>
      <w:r>
        <w:rPr>
          <w:rFonts w:ascii="Calibri" w:cs="Calibri" w:eastAsia="Calibri" w:hAnsi="Calibri"/>
          <w:sz w:val="17"/>
          <w:szCs w:val="17"/>
        </w:rPr>
        <w:t xml:space="preserve">Distilled or RO/DI water</w:t>
      </w:r>
    </w:p>
    <w:p>
      <w:pPr>
        <w:pStyle w:val="ListParagraph"/>
        <w:numPr>
          <w:ilvl w:val="0"/>
          <w:numId w:val="1"/>
        </w:numPr>
        <w:spacing w:after="60" w:line="245"/>
      </w:pPr>
      <w:r>
        <w:rPr>
          <w:rFonts w:ascii="Calibri" w:cs="Calibri" w:eastAsia="Calibri" w:hAnsi="Calibri"/>
          <w:sz w:val="17"/>
          <w:szCs w:val="17"/>
        </w:rPr>
        <w:t xml:space="preserve">Fume cupboard</w:t>
      </w:r>
    </w:p>
    <w:p>
      <w:pPr>
        <w:pStyle w:val="ListParagraph"/>
        <w:numPr>
          <w:ilvl w:val="0"/>
          <w:numId w:val="1"/>
        </w:numPr>
        <w:spacing w:after="60" w:line="245"/>
      </w:pPr>
      <w:r>
        <w:rPr>
          <w:rFonts w:ascii="Calibri" w:cs="Calibri" w:eastAsia="Calibri" w:hAnsi="Calibri"/>
          <w:sz w:val="17"/>
          <w:szCs w:val="17"/>
        </w:rPr>
        <w:t xml:space="preserve">Reagent chemicals in date</w:t>
      </w:r>
    </w:p>
    <w:p>
      <w:pPr>
        <w:pStyle w:val="ListParagraph"/>
        <w:numPr>
          <w:ilvl w:val="0"/>
          <w:numId w:val="1"/>
        </w:numPr>
        <w:spacing w:after="60" w:line="245"/>
      </w:pPr>
      <w:r>
        <w:rPr>
          <w:rFonts w:ascii="Calibri" w:cs="Calibri" w:eastAsia="Calibri" w:hAnsi="Calibri"/>
          <w:sz w:val="17"/>
          <w:szCs w:val="17"/>
        </w:rPr>
        <w:t xml:space="preserve">Amber bottles and labels</w:t>
      </w:r>
    </w:p>
    <w:p>
      <w:pPr>
        <w:pStyle w:val="Heading1"/>
        <w:spacing w:after="120" w:before="260"/>
      </w:pPr>
      <w:r>
        <w:rPr>
          <w:rFonts w:ascii="Calibri" w:cs="Calibri" w:eastAsia="Calibri" w:hAnsi="Calibri"/>
          <w:b/>
          <w:bCs/>
          <w:color w:val="1F3864"/>
          <w:sz w:val="24"/>
          <w:szCs w:val="24"/>
        </w:rPr>
        <w:t xml:space="preserve">6  STEPS</w:t>
      </w:r>
    </w:p>
    <w:p>
      <w:pPr>
        <w:ind w:left="280"/>
        <w:spacing w:after="50" w:before="0" w:line="245"/>
      </w:pPr>
      <w:r>
        <w:rPr>
          <w:rFonts w:ascii="Calibri" w:cs="Calibri" w:eastAsia="Calibri" w:hAnsi="Calibri"/>
          <w:b/>
          <w:bCs/>
          <w:sz w:val="17"/>
          <w:szCs w:val="17"/>
        </w:rPr>
        <w:t xml:space="preserve">1.</w:t>
      </w:r>
      <w:r>
        <w:rPr>
          <w:rFonts w:ascii="Calibri" w:cs="Calibri" w:eastAsia="Calibri" w:hAnsi="Calibri"/>
          <w:sz w:val="17"/>
          <w:szCs w:val="17"/>
        </w:rPr>
        <w:t xml:space="preserve">  Check the balance verification is current before weighing any standard.</w:t>
      </w:r>
    </w:p>
    <w:p>
      <w:pPr>
        <w:ind w:left="280"/>
        <w:spacing w:after="50" w:before="0" w:line="245"/>
      </w:pPr>
      <w:r>
        <w:rPr>
          <w:rFonts w:ascii="Calibri" w:cs="Calibri" w:eastAsia="Calibri" w:hAnsi="Calibri"/>
          <w:b/>
          <w:bCs/>
          <w:sz w:val="17"/>
          <w:szCs w:val="17"/>
        </w:rPr>
        <w:t xml:space="preserve">2.</w:t>
      </w:r>
      <w:r>
        <w:rPr>
          <w:rFonts w:ascii="Calibri" w:cs="Calibri" w:eastAsia="Calibri" w:hAnsi="Calibri"/>
          <w:sz w:val="17"/>
          <w:szCs w:val="17"/>
        </w:rPr>
        <w:t xml:space="preserve">  Use only reagents in date and correctly labelled. A reagent of unknown age does not make a standard.</w:t>
      </w:r>
    </w:p>
    <w:p>
      <w:pPr>
        <w:ind w:left="280"/>
        <w:spacing w:after="50" w:before="0" w:line="245"/>
      </w:pPr>
      <w:r>
        <w:rPr>
          <w:rFonts w:ascii="Calibri" w:cs="Calibri" w:eastAsia="Calibri" w:hAnsi="Calibri"/>
          <w:b/>
          <w:bCs/>
          <w:sz w:val="17"/>
          <w:szCs w:val="17"/>
        </w:rPr>
        <w:t xml:space="preserve">3.</w:t>
      </w:r>
      <w:r>
        <w:rPr>
          <w:rFonts w:ascii="Calibri" w:cs="Calibri" w:eastAsia="Calibri" w:hAnsi="Calibri"/>
          <w:sz w:val="17"/>
          <w:szCs w:val="17"/>
        </w:rPr>
        <w:t xml:space="preserve">  Weigh the primary standard on the analytical balance and record the exact mass.</w:t>
      </w:r>
    </w:p>
    <w:p>
      <w:pPr>
        <w:ind w:left="280"/>
        <w:spacing w:after="50" w:before="0" w:line="245"/>
      </w:pPr>
      <w:r>
        <w:rPr>
          <w:rFonts w:ascii="Calibri" w:cs="Calibri" w:eastAsia="Calibri" w:hAnsi="Calibri"/>
          <w:b/>
          <w:bCs/>
          <w:sz w:val="17"/>
          <w:szCs w:val="17"/>
        </w:rPr>
        <w:t xml:space="preserve">4.</w:t>
      </w:r>
      <w:r>
        <w:rPr>
          <w:rFonts w:ascii="Calibri" w:cs="Calibri" w:eastAsia="Calibri" w:hAnsi="Calibri"/>
          <w:sz w:val="17"/>
          <w:szCs w:val="17"/>
        </w:rPr>
        <w:t xml:space="preserve">  Dissolve and make up to the mark in a volumetric flask at the reference temperature.</w:t>
      </w:r>
    </w:p>
    <w:p>
      <w:pPr>
        <w:ind w:left="280"/>
        <w:spacing w:after="50" w:before="0" w:line="245"/>
      </w:pPr>
      <w:r>
        <w:rPr>
          <w:rFonts w:ascii="Calibri" w:cs="Calibri" w:eastAsia="Calibri" w:hAnsi="Calibri"/>
          <w:b/>
          <w:bCs/>
          <w:sz w:val="17"/>
          <w:szCs w:val="17"/>
        </w:rPr>
        <w:t xml:space="preserve">5.</w:t>
      </w:r>
      <w:r>
        <w:rPr>
          <w:rFonts w:ascii="Calibri" w:cs="Calibri" w:eastAsia="Calibri" w:hAnsi="Calibri"/>
          <w:sz w:val="17"/>
          <w:szCs w:val="17"/>
        </w:rPr>
        <w:t xml:space="preserve">  Standardise the solution against a primary standard where the method requires it, and record the factor.</w:t>
      </w:r>
    </w:p>
    <w:p>
      <w:pPr>
        <w:ind w:left="280"/>
        <w:spacing w:after="50" w:before="0" w:line="245"/>
      </w:pPr>
      <w:r>
        <w:rPr>
          <w:rFonts w:ascii="Calibri" w:cs="Calibri" w:eastAsia="Calibri" w:hAnsi="Calibri"/>
          <w:b/>
          <w:bCs/>
          <w:sz w:val="17"/>
          <w:szCs w:val="17"/>
        </w:rPr>
        <w:t xml:space="preserve">6.</w:t>
      </w:r>
      <w:r>
        <w:rPr>
          <w:rFonts w:ascii="Calibri" w:cs="Calibri" w:eastAsia="Calibri" w:hAnsi="Calibri"/>
          <w:sz w:val="17"/>
          <w:szCs w:val="17"/>
        </w:rPr>
        <w:t xml:space="preserve">  Label every solution with its identity, concentration, preparation date, expiry and the preparer's initials. An unlabelled solution is discarded, not guessed at.</w:t>
      </w:r>
    </w:p>
    <w:p>
      <w:pPr>
        <w:ind w:left="280"/>
        <w:spacing w:after="50" w:before="0" w:line="245"/>
      </w:pPr>
      <w:r>
        <w:rPr>
          <w:rFonts w:ascii="Calibri" w:cs="Calibri" w:eastAsia="Calibri" w:hAnsi="Calibri"/>
          <w:b/>
          <w:bCs/>
          <w:sz w:val="17"/>
          <w:szCs w:val="17"/>
        </w:rPr>
        <w:t xml:space="preserve">7.</w:t>
      </w:r>
      <w:r>
        <w:rPr>
          <w:rFonts w:ascii="Calibri" w:cs="Calibri" w:eastAsia="Calibri" w:hAnsi="Calibri"/>
          <w:sz w:val="17"/>
          <w:szCs w:val="17"/>
        </w:rPr>
        <w:t xml:space="preserve">  Store light-sensitive solutions such as silver nitrate in amber bottles away from light.</w:t>
      </w:r>
    </w:p>
    <w:p>
      <w:pPr>
        <w:ind w:left="280"/>
        <w:spacing w:after="50" w:before="0" w:line="245"/>
      </w:pPr>
      <w:r>
        <w:rPr>
          <w:rFonts w:ascii="Calibri" w:cs="Calibri" w:eastAsia="Calibri" w:hAnsi="Calibri"/>
          <w:b/>
          <w:bCs/>
          <w:sz w:val="17"/>
          <w:szCs w:val="17"/>
        </w:rPr>
        <w:t xml:space="preserve">8.</w:t>
      </w:r>
      <w:r>
        <w:rPr>
          <w:rFonts w:ascii="Calibri" w:cs="Calibri" w:eastAsia="Calibri" w:hAnsi="Calibri"/>
          <w:sz w:val="17"/>
          <w:szCs w:val="17"/>
        </w:rPr>
        <w:t xml:space="preserve">  Record the preparation in the solution register and re-standardise at the set interval.</w:t>
      </w:r>
    </w:p>
    <w:p>
      <w:pPr>
        <w:pStyle w:val="Heading1"/>
        <w:spacing w:after="120" w:before="260"/>
      </w:pPr>
      <w:r>
        <w:rPr>
          <w:rFonts w:ascii="Calibri" w:cs="Calibri" w:eastAsia="Calibri" w:hAnsi="Calibri"/>
          <w:b/>
          <w:bCs/>
          <w:color w:val="1F3864"/>
          <w:sz w:val="24"/>
          <w:szCs w:val="24"/>
        </w:rPr>
        <w:t xml:space="preserve">7  ON COMPLETION</w:t>
      </w:r>
    </w:p>
    <w:p>
      <w:pPr>
        <w:pStyle w:val="ListParagraph"/>
        <w:numPr>
          <w:ilvl w:val="0"/>
          <w:numId w:val="1"/>
        </w:numPr>
        <w:spacing w:after="60" w:line="245"/>
      </w:pPr>
      <w:r>
        <w:rPr>
          <w:rFonts w:ascii="Calibri" w:cs="Calibri" w:eastAsia="Calibri" w:hAnsi="Calibri"/>
          <w:sz w:val="17"/>
          <w:szCs w:val="17"/>
        </w:rPr>
        <w:t xml:space="preserve">Wash down the bench and the fume cupboard working surface.</w:t>
      </w:r>
    </w:p>
    <w:p>
      <w:pPr>
        <w:pStyle w:val="ListParagraph"/>
        <w:numPr>
          <w:ilvl w:val="0"/>
          <w:numId w:val="1"/>
        </w:numPr>
        <w:spacing w:after="60" w:line="245"/>
      </w:pPr>
      <w:r>
        <w:rPr>
          <w:rFonts w:ascii="Calibri" w:cs="Calibri" w:eastAsia="Calibri" w:hAnsi="Calibri"/>
          <w:sz w:val="17"/>
          <w:szCs w:val="17"/>
        </w:rPr>
        <w:t xml:space="preserve">Clean glassware and return it to the drying rack.</w:t>
      </w:r>
    </w:p>
    <w:p>
      <w:pPr>
        <w:pStyle w:val="ListParagraph"/>
        <w:numPr>
          <w:ilvl w:val="0"/>
          <w:numId w:val="1"/>
        </w:numPr>
        <w:spacing w:after="60" w:line="245"/>
      </w:pPr>
      <w:r>
        <w:rPr>
          <w:rFonts w:ascii="Calibri" w:cs="Calibri" w:eastAsia="Calibri" w:hAnsi="Calibri"/>
          <w:sz w:val="17"/>
          <w:szCs w:val="17"/>
        </w:rPr>
        <w:t xml:space="preserve">Dispose of residues to the correct waste stream - cyanide-bearing effluent does NOT go to the general drain.</w:t>
      </w:r>
    </w:p>
    <w:p>
      <w:pPr>
        <w:pStyle w:val="ListParagraph"/>
        <w:numPr>
          <w:ilvl w:val="0"/>
          <w:numId w:val="1"/>
        </w:numPr>
        <w:spacing w:after="60" w:line="245"/>
      </w:pPr>
      <w:r>
        <w:rPr>
          <w:rFonts w:ascii="Calibri" w:cs="Calibri" w:eastAsia="Calibri" w:hAnsi="Calibri"/>
          <w:sz w:val="17"/>
          <w:szCs w:val="17"/>
        </w:rPr>
        <w:t xml:space="preserve">Record the result, the method used and the instrument or balance identity.</w:t>
      </w:r>
    </w:p>
    <w:p>
      <w:pPr>
        <w:pStyle w:val="Heading1"/>
        <w:spacing w:after="120" w:before="260"/>
      </w:pPr>
      <w:r>
        <w:rPr>
          <w:rFonts w:ascii="Calibri" w:cs="Calibri" w:eastAsia="Calibri" w:hAnsi="Calibri"/>
          <w:b/>
          <w:bCs/>
          <w:color w:val="1F3864"/>
          <w:sz w:val="24"/>
          <w:szCs w:val="24"/>
        </w:rPr>
        <w:t xml:space="preserve">8  RECORDS</w:t>
      </w:r>
    </w:p>
    <w:p>
      <w:pPr>
        <w:pStyle w:val="ListParagraph"/>
        <w:numPr>
          <w:ilvl w:val="0"/>
          <w:numId w:val="1"/>
        </w:numPr>
        <w:spacing w:after="60" w:line="245"/>
      </w:pPr>
      <w:r>
        <w:rPr>
          <w:rFonts w:ascii="Calibri" w:cs="Calibri" w:eastAsia="Calibri" w:hAnsi="Calibri"/>
          <w:sz w:val="17"/>
          <w:szCs w:val="17"/>
        </w:rPr>
        <w:t xml:space="preserve">Field or bench data sheet - date, time, shift, operator, and every value determined.</w:t>
      </w:r>
    </w:p>
    <w:p>
      <w:pPr>
        <w:pStyle w:val="ListParagraph"/>
        <w:numPr>
          <w:ilvl w:val="0"/>
          <w:numId w:val="1"/>
        </w:numPr>
        <w:spacing w:after="60" w:line="245"/>
      </w:pPr>
      <w:r>
        <w:rPr>
          <w:rFonts w:ascii="Calibri" w:cs="Calibri" w:eastAsia="Calibri" w:hAnsi="Calibri"/>
          <w:sz w:val="17"/>
          <w:szCs w:val="17"/>
        </w:rPr>
        <w:t xml:space="preserve">Register or logbook entry and any handover signature.</w:t>
      </w:r>
    </w:p>
    <w:p>
      <w:pPr>
        <w:pStyle w:val="ListParagraph"/>
        <w:numPr>
          <w:ilvl w:val="0"/>
          <w:numId w:val="1"/>
        </w:numPr>
        <w:spacing w:after="60" w:line="245"/>
      </w:pPr>
      <w:r>
        <w:rPr>
          <w:rFonts w:ascii="Calibri" w:cs="Calibri" w:eastAsia="Calibri" w:hAnsi="Calibri"/>
          <w:sz w:val="17"/>
          <w:szCs w:val="17"/>
        </w:rPr>
        <w:t xml:space="preserve">Any step not completed, recorded with the reason.</w:t>
      </w:r>
    </w:p>
    <w:p>
      <w:pPr>
        <w:pStyle w:val="ListParagraph"/>
        <w:numPr>
          <w:ilvl w:val="0"/>
          <w:numId w:val="1"/>
        </w:numPr>
        <w:spacing w:after="60" w:line="245"/>
      </w:pPr>
      <w:r>
        <w:rPr>
          <w:rFonts w:ascii="Calibri" w:cs="Calibri" w:eastAsia="Calibri" w:hAnsi="Calibri"/>
          <w:sz w:val="17"/>
          <w:szCs w:val="17"/>
        </w:rPr>
        <w:t xml:space="preserve">Any control in Section 3 found not in place, reported to the Shift Supervisor and recorded.</w:t>
      </w:r>
    </w:p>
    <w:p>
      <w:pPr>
        <w:pStyle w:val="Heading1"/>
        <w:spacing w:after="120" w:before="260"/>
      </w:pPr>
      <w:r>
        <w:rPr>
          <w:rFonts w:ascii="Calibri" w:cs="Calibri" w:eastAsia="Calibri" w:hAnsi="Calibri"/>
          <w:b/>
          <w:bCs/>
          <w:color w:val="1F3864"/>
          <w:sz w:val="24"/>
          <w:szCs w:val="24"/>
        </w:rPr>
        <w:t xml:space="preserve">9  REFERENCE</w:t>
      </w:r>
    </w:p>
    <w:p>
      <w:pPr>
        <w:pStyle w:val="ListParagraph"/>
        <w:numPr>
          <w:ilvl w:val="0"/>
          <w:numId w:val="1"/>
        </w:numPr>
        <w:spacing w:after="60" w:line="245"/>
      </w:pPr>
      <w:r>
        <w:rPr>
          <w:rFonts w:ascii="Calibri" w:cs="Calibri" w:eastAsia="Calibri" w:hAnsi="Calibri"/>
          <w:sz w:val="17"/>
          <w:szCs w:val="17"/>
        </w:rPr>
        <w:t xml:space="preserve">KBK-MIR-LAB-WET-SOP-043, -044 and -045 standard solutions</w:t>
      </w:r>
    </w:p>
    <w:p>
      <w:pPr>
        <w:pStyle w:val="ListParagraph"/>
        <w:numPr>
          <w:ilvl w:val="0"/>
          <w:numId w:val="1"/>
        </w:numPr>
        <w:spacing w:after="60" w:line="245"/>
      </w:pPr>
      <w:r>
        <w:rPr>
          <w:rFonts w:ascii="Calibri" w:cs="Calibri" w:eastAsia="Calibri" w:hAnsi="Calibri"/>
          <w:sz w:val="17"/>
          <w:szCs w:val="17"/>
        </w:rPr>
        <w:t xml:space="preserve">KBK-MIR-MP-PRO-MET-SOP-0043 AgNO3 0.01 M standard, SOP-0050 phenolphthalein indicator, SOP-0051 rhodanine indicator, SOP-0052 10 per cent sulfamic acid and SOP-0053 potassium chloride for the cyanide analyser - all received 11 Aug 2026</w:t>
      </w:r>
    </w:p>
    <w:p>
      <w:pPr>
        <w:pStyle w:val="ListParagraph"/>
        <w:numPr>
          <w:ilvl w:val="0"/>
          <w:numId w:val="1"/>
        </w:numPr>
        <w:spacing w:after="60" w:line="245"/>
      </w:pPr>
      <w:r>
        <w:rPr>
          <w:rFonts w:ascii="Calibri" w:cs="Calibri" w:eastAsia="Calibri" w:hAnsi="Calibri"/>
          <w:sz w:val="17"/>
          <w:szCs w:val="17"/>
        </w:rPr>
        <w:t xml:space="preserve">ILS quotation Q0023979 - Class F1 weight set 10 mg to 200 g and GR-200 0.1 mg balance</w:t>
      </w:r>
    </w:p>
    <w:sectPr>
      <w:headerReference w:type="default" r:id="rId7"/>
      <w:footerReference w:type="default" r:id="rId8"/>
      <w:pgSz w:w="11906" w:h="16838" w:orient="portrait"/>
      <w:pgMar w:top="10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Calibri" w:cs="Calibri" w:eastAsia="Calibri" w:hAnsi="Calibri"/>
        <w:color w:val="595959"/>
        <w:sz w:val="15"/>
        <w:szCs w:val="15"/>
      </w:rPr>
      <w:t xml:space="preserve">Page </w:t>
    </w:r>
    <w:r>
      <w:rPr>
        <w:rFonts w:ascii="Calibri" w:cs="Calibri" w:eastAsia="Calibri" w:hAnsi="Calibri"/>
        <w:color w:val="595959"/>
        <w:sz w:val="15"/>
        <w:szCs w:val="15"/>
      </w:rPr>
      <w:fldChar w:fldCharType="begin"/>
      <w:instrText xml:space="preserve">PAGE</w:instrText>
      <w:fldChar w:fldCharType="separate"/>
      <w:fldChar w:fldCharType="end"/>
    </w:r>
    <w:r>
      <w:rPr>
        <w:rFonts w:ascii="Calibri" w:cs="Calibri" w:eastAsia="Calibri" w:hAnsi="Calibri"/>
        <w:color w:val="595959"/>
        <w:sz w:val="15"/>
        <w:szCs w:val="15"/>
      </w:rPr>
      <w:t xml:space="preserve"> of </w:t>
    </w:r>
    <w:r>
      <w:rPr>
        <w:rFonts w:ascii="Calibri" w:cs="Calibri" w:eastAsia="Calibri" w:hAnsi="Calibri"/>
        <w:color w:val="595959"/>
        <w:sz w:val="15"/>
        <w:szCs w:val="15"/>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sz="4" w:space="2" w:color="D7DEE9"/>
      </w:pBdr>
      <w:spacing w:after="0" w:line="240"/>
    </w:pPr>
    <w:r>
      <w:rPr>
        <w:rFonts w:ascii="Calibri" w:cs="Calibri" w:eastAsia="Calibri" w:hAnsi="Calibri"/>
        <w:color w:val="555555"/>
        <w:sz w:val="15"/>
        <w:szCs w:val="15"/>
      </w:rPr>
      <w:t xml:space="preserve">SWI-PRO-MET-205-017  ·  Preparation of Standard and Working Solutions  ·  Rev 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2026-08-09T12:17:56.406Z</dcterms:created>
  <dcterms:modified xsi:type="dcterms:W3CDTF">2026-08-09T12:17:56.406Z</dcterms:modified>
</cp:coreProperties>
</file>

<file path=docProps/custom.xml><?xml version="1.0" encoding="utf-8"?>
<Properties xmlns="http://schemas.openxmlformats.org/officeDocument/2006/custom-properties" xmlns:vt="http://schemas.openxmlformats.org/officeDocument/2006/docPropsVTypes"/>
</file>