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Met Lab Chemical Receipt, Storage and Decanting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Receive, store and decant laboratory chemicals safely and in a way that keeps them fit for use.</w:t>
      </w:r>
    </w:p>
    <w:p>
      <w:pPr>
        <w:spacing w:after="60" w:before="0" w:line="245"/>
      </w:pPr>
      <w:r>
        <w:rPr>
          <w:rFonts w:ascii="Calibri" w:cs="Calibri" w:eastAsia="Calibri" w:hAnsi="Calibri"/>
          <w:sz w:val="17"/>
          <w:szCs w:val="17"/>
        </w:rPr>
        <w:t xml:space="preserve">The laboratory holds concentrated acids, cyanide and oxidisers in one room. Segregation and labelling are the controls.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delivery, and every decant.</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SWI-PRO-MET-206-001 in HM-MMM-WHS-REG-XXX-R00-SWI-SWMS, tab SWI-MET. The matching hazard analysis is JSEA-PRO-MET-206-001.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sodium hydroxide solution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chemical PPE including face shield and chemical-resistant gloves. Sample drawn slowly from the designated valve. Safety shower and eyewash within reach and proven flowing.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160 L flammable, 160 L corrosive and 60 L toxic cabinets</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Decanting equipment</w:t>
      </w:r>
    </w:p>
    <w:p>
      <w:pPr>
        <w:pStyle w:val="ListParagraph"/>
        <w:numPr>
          <w:ilvl w:val="0"/>
          <w:numId w:val="1"/>
        </w:numPr>
        <w:spacing w:after="60" w:line="245"/>
      </w:pPr>
      <w:r>
        <w:rPr>
          <w:rFonts w:ascii="Calibri" w:cs="Calibri" w:eastAsia="Calibri" w:hAnsi="Calibri"/>
          <w:sz w:val="17"/>
          <w:szCs w:val="17"/>
        </w:rPr>
        <w:t xml:space="preserve">Spill kit</w:t>
      </w:r>
    </w:p>
    <w:p>
      <w:pPr>
        <w:pStyle w:val="ListParagraph"/>
        <w:numPr>
          <w:ilvl w:val="0"/>
          <w:numId w:val="1"/>
        </w:numPr>
        <w:spacing w:after="60" w:line="245"/>
      </w:pPr>
      <w:r>
        <w:rPr>
          <w:rFonts w:ascii="Calibri" w:cs="Calibri" w:eastAsia="Calibri" w:hAnsi="Calibri"/>
          <w:sz w:val="17"/>
          <w:szCs w:val="17"/>
        </w:rPr>
        <w:t xml:space="preserve">Chemical register</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Safety data sheets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delivery against the order and the safety data sheet before accepting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Reject anything with a damaged container, an illegible label or no safety data sheet.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Log the chemical into the register with quantity, batch, date received and expiry.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Store to the correct cabinet. Acids away from cyanide, oxidisers away from flammables, and nothing on the floor.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NEVER store an acid where a leak could reach cyanide. Acid on cyanide releases hydrogen cyanide gas.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Decant only in the fume cupboard, with the airflow confirmed and a spill kit at hand.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every decanted container immediately with contents, concentration, date and preparer.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Return the parent container to its cabinet before leaving the bench.</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KBK-MIR-LAB-WET-SOP-025 chemical issue and WET-SOP-047 acid transfer</w:t>
      </w:r>
    </w:p>
    <w:p>
      <w:pPr>
        <w:pStyle w:val="ListParagraph"/>
        <w:numPr>
          <w:ilvl w:val="0"/>
          <w:numId w:val="1"/>
        </w:numPr>
        <w:spacing w:after="60" w:line="245"/>
      </w:pPr>
      <w:r>
        <w:rPr>
          <w:rFonts w:ascii="Calibri" w:cs="Calibri" w:eastAsia="Calibri" w:hAnsi="Calibri"/>
          <w:sz w:val="17"/>
          <w:szCs w:val="17"/>
        </w:rPr>
        <w:t xml:space="preserve">ILS quotation Q0023979 - 160 L flammable, 160 L corrosive and 60 L toxic/poisons cabinets</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SWI-PRO-MET-206-001  ·  Met Lab Chemical Receipt, Storage and Decanting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