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Solution Handling and Spill Response</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Handle cyanide solutions at the bench and respond correctly to a cyanide spill in the laboratory.</w:t>
      </w:r>
    </w:p>
    <w:p>
      <w:pPr>
        <w:spacing w:after="60" w:before="0" w:line="245"/>
      </w:pPr>
      <w:r>
        <w:rPr>
          <w:rFonts w:ascii="Calibri" w:cs="Calibri" w:eastAsia="Calibri" w:hAnsi="Calibri"/>
          <w:sz w:val="17"/>
          <w:szCs w:val="17"/>
        </w:rPr>
        <w:t xml:space="preserve">A cyanide spill in a small enclosed room with acids present is the worst credible laboratory event on this site.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cyanide handling task; drill at the set interval.</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SWI-PRO-MET-206-005 in HM-MMM-WHS-REG-XXX-R00-SWI-SWMS, tab SWI-MET. The matching hazard analysis is JSEA-PRO-MET-206-005.</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JSEA-PRO-MET-206-005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JSEA-PRO-MET-206-005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Cyanide antidote kit</w:t>
      </w:r>
    </w:p>
    <w:p>
      <w:pPr>
        <w:pStyle w:val="ListParagraph"/>
        <w:numPr>
          <w:ilvl w:val="0"/>
          <w:numId w:val="1"/>
        </w:numPr>
        <w:spacing w:after="60" w:line="245"/>
      </w:pPr>
      <w:r>
        <w:rPr>
          <w:rFonts w:ascii="Calibri" w:cs="Calibri" w:eastAsia="Calibri" w:hAnsi="Calibri"/>
          <w:sz w:val="17"/>
          <w:szCs w:val="17"/>
        </w:rPr>
        <w:t xml:space="preserve">Hazchem spill kit 120 L</w:t>
      </w:r>
    </w:p>
    <w:p>
      <w:pPr>
        <w:pStyle w:val="ListParagraph"/>
        <w:numPr>
          <w:ilvl w:val="0"/>
          <w:numId w:val="1"/>
        </w:numPr>
        <w:spacing w:after="60" w:line="245"/>
      </w:pPr>
      <w:r>
        <w:rPr>
          <w:rFonts w:ascii="Calibri" w:cs="Calibri" w:eastAsia="Calibri" w:hAnsi="Calibri"/>
          <w:sz w:val="17"/>
          <w:szCs w:val="17"/>
        </w:rPr>
        <w:t xml:space="preserve">Caustic for neutralisation</w:t>
      </w:r>
    </w:p>
    <w:p>
      <w:pPr>
        <w:pStyle w:val="ListParagraph"/>
        <w:numPr>
          <w:ilvl w:val="0"/>
          <w:numId w:val="1"/>
        </w:numPr>
        <w:spacing w:after="60" w:line="245"/>
      </w:pPr>
      <w:r>
        <w:rPr>
          <w:rFonts w:ascii="Calibri" w:cs="Calibri" w:eastAsia="Calibri" w:hAnsi="Calibri"/>
          <w:sz w:val="17"/>
          <w:szCs w:val="17"/>
        </w:rPr>
        <w:t xml:space="preserve">Safety shower and eyewash</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Handle cyanide solutions only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Keep all acids out of the cupboard while cyanide work is in progress. Acid on cyanide releases HCN.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Keep the solution pH above 10.5 at all times. Confirm it before starting.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On a small spill inside the cupboard: leave the sash down and the fan running, neutralise with caustic, then absorb and bag for cyanide waste disposal.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On a spill outside the cupboard: evacuate the laboratory, close the door, raise the alarm and do not re-enter.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On skin contact: flood with water at the safety shower for at least 15 minutes, remove contaminated clothing under the water, and get the antidote kit and a trained first aider.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suspected inhalation: move the person to fresh air, do not enter to retrieve them without protection, and call for the antidote kit and emergency response immediately.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every spill, however small, and record it.</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SWI-022 Gas Detector Alarm Response and SWI-025 Cyanide Bearing Spill Response, both issued (plant versions)</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ILS quotation Q0023979 - safety shower with eye wash, 3 x eye wash stations, 120 L hazchem spill kit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SWI-PRO-MET-206-005  ·  Cyanide Solution Handling and Spill Response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