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WORK INSTRUCTION</w:t>
      </w:r>
    </w:p>
    <w:p>
      <w:pPr>
        <w:pBdr>
          <w:bottom w:val="single" w:sz="8" w:space="4" w:color="1F3864"/>
        </w:pBdr>
        <w:spacing w:after="80" w:before="0" w:line="300"/>
      </w:pPr>
      <w:r>
        <w:rPr>
          <w:rFonts w:ascii="Calibri" w:cs="Calibri" w:eastAsia="Calibri" w:hAnsi="Calibri"/>
          <w:b/>
          <w:bCs/>
          <w:color w:val="1F3864"/>
          <w:sz w:val="32"/>
          <w:szCs w:val="32"/>
        </w:rPr>
        <w:t xml:space="preserve">Met Lab Waste, Residue and Effluent Disposal</w:t>
      </w:r>
    </w:p>
    <w:p>
      <w:pPr>
        <w:spacing w:after="140" w:before="0" w:line="245"/>
      </w:pPr>
      <w:r>
        <w:rPr>
          <w:rFonts w:ascii="Calibri" w:cs="Calibri" w:eastAsia="Calibri" w:hAnsi="Calibri"/>
          <w:color w:val="555555"/>
          <w:sz w:val="17"/>
          <w:szCs w:val="17"/>
        </w:rPr>
        <w:t xml:space="preserve">Standard Work Instruction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SWI-PRO-MET-206-007</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JSEA-PRO-MET-206-007</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206  Met Lab - Facility, Safety and Quality</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HM-PRC-VXX-PRO210  Metallurgical Laboratory Facility, Safety and Quality</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TASK AND SCOPE</w:t>
      </w:r>
    </w:p>
    <w:p>
      <w:pPr>
        <w:spacing w:after="60" w:before="0" w:line="245"/>
      </w:pPr>
      <w:r>
        <w:rPr>
          <w:rFonts w:ascii="Calibri" w:cs="Calibri" w:eastAsia="Calibri" w:hAnsi="Calibri"/>
          <w:sz w:val="17"/>
          <w:szCs w:val="17"/>
        </w:rPr>
        <w:t xml:space="preserve">Dispose of laboratory waste, residues and effluent to the correct route.</w:t>
      </w:r>
    </w:p>
    <w:p>
      <w:pPr>
        <w:spacing w:after="60" w:before="0" w:line="245"/>
      </w:pPr>
      <w:r>
        <w:rPr>
          <w:rFonts w:ascii="Calibri" w:cs="Calibri" w:eastAsia="Calibri" w:hAnsi="Calibri"/>
          <w:sz w:val="17"/>
          <w:szCs w:val="17"/>
        </w:rPr>
        <w:t xml:space="preserve">Cyanide-bearing laboratory effluent going to the wrong drain is an environmental incident and a reportable one.</w:t>
      </w:r>
    </w:p>
    <w:p>
      <w:pPr>
        <w:spacing w:after="60" w:before="0" w:line="245"/>
      </w:pPr>
      <w:r>
        <w:rPr>
          <w:rFonts w:ascii="Calibri" w:cs="Calibri" w:eastAsia="Calibri" w:hAnsi="Calibri"/>
          <w:sz w:val="17"/>
          <w:szCs w:val="17"/>
        </w:rPr>
        <w:t xml:space="preserve">Points and equipment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Every day, and at the end of every test.</w:t>
      </w:r>
    </w:p>
    <w:p>
      <w:pPr>
        <w:spacing w:after="60" w:before="0" w:line="245"/>
      </w:pPr>
      <w:r>
        <w:rPr>
          <w:rFonts w:ascii="Calibri" w:cs="Calibri" w:eastAsia="Calibri" w:hAnsi="Calibri"/>
          <w:sz w:val="17"/>
          <w:szCs w:val="17"/>
        </w:rPr>
        <w:t xml:space="preserve">This instruction sits under Standard Work Procedure HM-PRC-VXX-PRO210 - Metallurgical Laboratory Facility, Safety and Quality. Read that procedure before carrying out this task for the first time.</w:t>
      </w:r>
    </w:p>
    <w:p>
      <w:pPr>
        <w:spacing w:after="60" w:before="0" w:line="245"/>
      </w:pPr>
      <w:r>
        <w:rPr>
          <w:rFonts w:ascii="Calibri" w:cs="Calibri" w:eastAsia="Calibri" w:hAnsi="Calibri"/>
          <w:sz w:val="17"/>
          <w:szCs w:val="17"/>
        </w:rPr>
        <w:t xml:space="preserve">Register line: SWI-PRO-MET-206-007 in HM-MMM-WHS-REG-XXX-R00-SWI-SWMS, tab SWI-MET. The matching hazard analysis is JSEA-PRO-MET-206-007.</w:t>
      </w:r>
    </w:p>
    <w:p>
      <w:pPr>
        <w:pStyle w:val="Heading1"/>
        <w:spacing w:after="120" w:before="260"/>
      </w:pPr>
      <w:r>
        <w:rPr>
          <w:rFonts w:ascii="Calibri" w:cs="Calibri" w:eastAsia="Calibri" w:hAnsi="Calibri"/>
          <w:b/>
          <w:bCs/>
          <w:color w:val="1F3864"/>
          <w:sz w:val="24"/>
          <w:szCs w:val="24"/>
        </w:rPr>
        <w:t xml:space="preserve">2  WHO MAY DO THIS</w:t>
      </w:r>
    </w:p>
    <w:p>
      <w:pPr>
        <w:pStyle w:val="ListParagraph"/>
        <w:numPr>
          <w:ilvl w:val="0"/>
          <w:numId w:val="1"/>
        </w:numPr>
        <w:spacing w:after="60" w:line="245"/>
      </w:pPr>
      <w:r>
        <w:rPr>
          <w:rFonts w:ascii="Calibri" w:cs="Calibri" w:eastAsia="Calibri" w:hAnsi="Calibri"/>
          <w:sz w:val="17"/>
          <w:szCs w:val="17"/>
        </w:rPr>
        <w:t xml:space="preserve">Trained and signed off against this instruction.</w:t>
      </w:r>
    </w:p>
    <w:p>
      <w:pPr>
        <w:pStyle w:val="ListParagraph"/>
        <w:numPr>
          <w:ilvl w:val="0"/>
          <w:numId w:val="1"/>
        </w:numPr>
        <w:spacing w:after="60" w:line="245"/>
      </w:pPr>
      <w:r>
        <w:rPr>
          <w:rFonts w:ascii="Calibri" w:cs="Calibri" w:eastAsia="Calibri" w:hAnsi="Calibri"/>
          <w:sz w:val="17"/>
          <w:szCs w:val="17"/>
        </w:rPr>
        <w:t xml:space="preserve">Signed on to JSEA JSEA-PRO-MET-206-007 at a communication session.</w:t>
      </w:r>
    </w:p>
    <w:p>
      <w:pPr>
        <w:pStyle w:val="ListParagraph"/>
        <w:numPr>
          <w:ilvl w:val="0"/>
          <w:numId w:val="1"/>
        </w:numPr>
        <w:spacing w:after="60" w:line="245"/>
      </w:pPr>
      <w:r>
        <w:rPr>
          <w:rFonts w:ascii="Calibri" w:cs="Calibri" w:eastAsia="Calibri" w:hAnsi="Calibri"/>
          <w:sz w:val="17"/>
          <w:szCs w:val="17"/>
        </w:rPr>
        <w:t xml:space="preserve">Site inducted, with current 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Authorised by the Shift Supervisor before the task starts.</w:t>
      </w:r>
    </w:p>
    <w:p>
      <w:pPr>
        <w:spacing w:after="60" w:before="0" w:line="245"/>
      </w:pPr>
      <w:r>
        <w:rPr>
          <w:rFonts w:ascii="Calibri" w:cs="Calibri" w:eastAsia="Calibri" w:hAnsi="Calibri"/>
          <w:b/>
          <w:bCs/>
          <w:sz w:val="17"/>
          <w:szCs w:val="17"/>
        </w:rPr>
        <w:t xml:space="preserve">This is a safety-critical task. It is not carried out alone in a cyanide area, and not without the Shift Supervisor knowing it is in progress.</w:t>
      </w:r>
    </w:p>
    <w:p>
      <w:pPr>
        <w:pStyle w:val="Heading1"/>
        <w:spacing w:after="120" w:before="260"/>
      </w:pPr>
      <w:r>
        <w:rPr>
          <w:rFonts w:ascii="Calibri" w:cs="Calibri" w:eastAsia="Calibri" w:hAnsi="Calibri"/>
          <w:b/>
          <w:bCs/>
          <w:color w:val="1F3864"/>
          <w:sz w:val="24"/>
          <w:szCs w:val="24"/>
        </w:rPr>
        <w:t xml:space="preserve">3  HAZARDS SPECIFIC TO THIS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Hazard</w:t>
            </w:r>
          </w:p>
        </w:tc>
        <w:tc>
          <w:tcPr>
            <w:tcW w:type="dxa" w:w="61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Control</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 released at the open sample point</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Contact with sulphuric or hydrochloric acid - burn to skin or eyes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Inhalation of acid fume or reagent vapour at the bench</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Manual handling injury from carrying sample buckets, containers and composite drums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Sample volume kept to the schedule - no over-filling. Two-person lift or a trolley for composite containers above the site manual handling limit. Route cleared before lifting.</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Splash of cyanide-bearing slurry or solution to skin or eyes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Cross-contamination from a container or cutter not cleaned between points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Bucket, container, cutter and sieve rinsed with process water and then with the stream being sampled, and the rinse discarded, before every sample. Dedicated containers for high-grade streams. Labels checked against the schedule before handover.</w:t>
            </w:r>
          </w:p>
        </w:tc>
      </w:tr>
    </w:tbl>
    <w:p>
      <w:pPr>
        <w:spacing w:after="60" w:before="0" w:line="245"/>
      </w:pPr>
    </w:p>
    <w:p>
      <w:pPr>
        <w:spacing w:after="60" w:before="0" w:line="245"/>
      </w:pPr>
      <w:r>
        <w:rPr>
          <w:rFonts w:ascii="Calibri" w:cs="Calibri" w:eastAsia="Calibri" w:hAnsi="Calibri"/>
          <w:i/>
          <w:iCs/>
          <w:sz w:val="17"/>
          <w:szCs w:val="17"/>
        </w:rPr>
        <w:t xml:space="preserve">The full step-by-step hazard analysis, with the risk ranking, is in JSEA JSEA-PRO-MET-206-007 Section 4.</w:t>
      </w:r>
    </w:p>
    <w:p>
      <w:pPr>
        <w:pStyle w:val="Heading1"/>
        <w:spacing w:after="120" w:before="260"/>
      </w:pPr>
      <w:r>
        <w:rPr>
          <w:rFonts w:ascii="Calibri" w:cs="Calibri" w:eastAsia="Calibri" w:hAnsi="Calibri"/>
          <w:b/>
          <w:bCs/>
          <w:color w:val="1F3864"/>
          <w:sz w:val="24"/>
          <w:szCs w:val="24"/>
        </w:rPr>
        <w:t xml:space="preserve">4  PPE</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5  BEFORE YOU START</w:t>
      </w:r>
    </w:p>
    <w:p>
      <w:pPr>
        <w:spacing w:after="60" w:before="0" w:line="245"/>
      </w:pPr>
      <w:r>
        <w:rPr>
          <w:rFonts w:ascii="Calibri" w:cs="Calibri" w:eastAsia="Calibri" w:hAnsi="Calibri"/>
          <w:sz w:val="17"/>
          <w:szCs w:val="17"/>
        </w:rPr>
        <w:t xml:space="preserve">Every item below must be true. If one is not, stop and report it.</w:t>
      </w:r>
    </w:p>
    <w:p>
      <w:pPr>
        <w:pStyle w:val="ListParagraph"/>
        <w:numPr>
          <w:ilvl w:val="0"/>
          <w:numId w:val="1"/>
        </w:numPr>
        <w:spacing w:after="60" w:line="245"/>
      </w:pPr>
      <w:r>
        <w:rPr>
          <w:rFonts w:ascii="Calibri" w:cs="Calibri" w:eastAsia="Calibri" w:hAnsi="Calibri"/>
          <w:sz w:val="17"/>
          <w:szCs w:val="17"/>
        </w:rPr>
        <w:t xml:space="preserve">Confirm the fume cupboard airflow, the scrubber and its dosing are running before any acid or cyanide work at the bench.</w:t>
      </w:r>
    </w:p>
    <w:p>
      <w:pPr>
        <w:pStyle w:val="ListParagraph"/>
        <w:numPr>
          <w:ilvl w:val="0"/>
          <w:numId w:val="1"/>
        </w:numPr>
        <w:spacing w:after="60" w:line="245"/>
      </w:pPr>
      <w:r>
        <w:rPr>
          <w:rFonts w:ascii="Calibri" w:cs="Calibri" w:eastAsia="Calibri" w:hAnsi="Calibri"/>
          <w:sz w:val="17"/>
          <w:szCs w:val="17"/>
        </w:rPr>
        <w:t xml:space="preserve">Confirm the safety shower and eyewash are within reach and proven flowing.</w:t>
      </w:r>
    </w:p>
    <w:p>
      <w:pPr>
        <w:pStyle w:val="ListParagraph"/>
        <w:numPr>
          <w:ilvl w:val="0"/>
          <w:numId w:val="1"/>
        </w:numPr>
        <w:spacing w:after="60" w:line="245"/>
      </w:pPr>
      <w:r>
        <w:rPr>
          <w:rFonts w:ascii="Calibri" w:cs="Calibri" w:eastAsia="Calibri" w:hAnsi="Calibri"/>
          <w:sz w:val="17"/>
          <w:szCs w:val="17"/>
        </w:rPr>
        <w:t xml:space="preserve">Confirm the instrument or balance is within its calibration or verification interval.</w:t>
      </w:r>
    </w:p>
    <w:p>
      <w:pPr>
        <w:pStyle w:val="ListParagraph"/>
        <w:numPr>
          <w:ilvl w:val="0"/>
          <w:numId w:val="1"/>
        </w:numPr>
        <w:spacing w:after="60" w:line="245"/>
      </w:pPr>
      <w:r>
        <w:rPr>
          <w:rFonts w:ascii="Calibri" w:cs="Calibri" w:eastAsia="Calibri" w:hAnsi="Calibri"/>
          <w:sz w:val="17"/>
          <w:szCs w:val="17"/>
        </w:rPr>
        <w:t xml:space="preserve">Confirm the reagents to be used are in date and correctly labelled.</w:t>
      </w:r>
    </w:p>
    <w:p>
      <w:pPr>
        <w:pStyle w:val="ListParagraph"/>
        <w:numPr>
          <w:ilvl w:val="0"/>
          <w:numId w:val="1"/>
        </w:numPr>
        <w:spacing w:after="60" w:line="245"/>
      </w:pPr>
      <w:r>
        <w:rPr>
          <w:rFonts w:ascii="Calibri" w:cs="Calibri" w:eastAsia="Calibri" w:hAnsi="Calibri"/>
          <w:sz w:val="17"/>
          <w:szCs w:val="17"/>
        </w:rPr>
        <w:t xml:space="preserve">Inspect all glassware for chips and cracks and discard anything damaged.</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750 L tipping bin</w:t>
      </w:r>
    </w:p>
    <w:p>
      <w:pPr>
        <w:pStyle w:val="ListParagraph"/>
        <w:numPr>
          <w:ilvl w:val="0"/>
          <w:numId w:val="1"/>
        </w:numPr>
        <w:spacing w:after="60" w:line="245"/>
      </w:pPr>
      <w:r>
        <w:rPr>
          <w:rFonts w:ascii="Calibri" w:cs="Calibri" w:eastAsia="Calibri" w:hAnsi="Calibri"/>
          <w:sz w:val="17"/>
          <w:szCs w:val="17"/>
        </w:rPr>
        <w:t xml:space="preserve">2 x 240 L Sulo bins</w:t>
      </w:r>
    </w:p>
    <w:p>
      <w:pPr>
        <w:pStyle w:val="ListParagraph"/>
        <w:numPr>
          <w:ilvl w:val="0"/>
          <w:numId w:val="1"/>
        </w:numPr>
        <w:spacing w:after="60" w:line="245"/>
      </w:pPr>
      <w:r>
        <w:rPr>
          <w:rFonts w:ascii="Calibri" w:cs="Calibri" w:eastAsia="Calibri" w:hAnsi="Calibri"/>
          <w:sz w:val="17"/>
          <w:szCs w:val="17"/>
        </w:rPr>
        <w:t xml:space="preserve">60 L drum</w:t>
      </w:r>
    </w:p>
    <w:p>
      <w:pPr>
        <w:pStyle w:val="ListParagraph"/>
        <w:numPr>
          <w:ilvl w:val="0"/>
          <w:numId w:val="1"/>
        </w:numPr>
        <w:spacing w:after="60" w:line="245"/>
      </w:pPr>
      <w:r>
        <w:rPr>
          <w:rFonts w:ascii="Calibri" w:cs="Calibri" w:eastAsia="Calibri" w:hAnsi="Calibri"/>
          <w:sz w:val="17"/>
          <w:szCs w:val="17"/>
        </w:rPr>
        <w:t xml:space="preserve">Crossflow scrubber with pH control</w:t>
      </w:r>
    </w:p>
    <w:p>
      <w:pPr>
        <w:pStyle w:val="ListParagraph"/>
        <w:numPr>
          <w:ilvl w:val="0"/>
          <w:numId w:val="1"/>
        </w:numPr>
        <w:spacing w:after="60" w:line="245"/>
      </w:pPr>
      <w:r>
        <w:rPr>
          <w:rFonts w:ascii="Calibri" w:cs="Calibri" w:eastAsia="Calibri" w:hAnsi="Calibri"/>
          <w:sz w:val="17"/>
          <w:szCs w:val="17"/>
        </w:rPr>
        <w:t xml:space="preserve">Waste labels</w:t>
      </w:r>
    </w:p>
    <w:p>
      <w:pPr>
        <w:pStyle w:val="ListParagraph"/>
        <w:numPr>
          <w:ilvl w:val="0"/>
          <w:numId w:val="1"/>
        </w:numPr>
        <w:spacing w:after="60" w:line="245"/>
      </w:pPr>
      <w:r>
        <w:rPr>
          <w:rFonts w:ascii="Calibri" w:cs="Calibri" w:eastAsia="Calibri" w:hAnsi="Calibri"/>
          <w:sz w:val="17"/>
          <w:szCs w:val="17"/>
        </w:rPr>
        <w:t xml:space="preserve">Waste register</w:t>
      </w:r>
    </w:p>
    <w:p>
      <w:pPr>
        <w:pStyle w:val="Heading1"/>
        <w:spacing w:after="120" w:before="260"/>
      </w:pPr>
      <w:r>
        <w:rPr>
          <w:rFonts w:ascii="Calibri" w:cs="Calibri" w:eastAsia="Calibri" w:hAnsi="Calibri"/>
          <w:b/>
          <w:bCs/>
          <w:color w:val="1F3864"/>
          <w:sz w:val="24"/>
          <w:szCs w:val="24"/>
        </w:rPr>
        <w:t xml:space="preserve">6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Segregate at the bench. Cyanide-bearing, acidic, and general waste go to separate containers - never the same one.</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NEVER put acidic waste into a cyanide-bearing waste container. That is an HCN generation event in a closed bin.</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Neutralise acidic waste before it goes to any shared route, and confirm with pH paper.</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Route cyanide-bearing effluent to the designated destination only. Confirm where that is before the first litre is generated.</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Label every waste container with contents, hazard and accumulation start date.</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Log the waste in the register as it is generated, not from memory at the end of the week.</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Keep solid residues from testwork until the result is reported and accepted, then dispose.</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Arrange removal at the set interval and file the disposal documentation.</w:t>
      </w:r>
    </w:p>
    <w:p>
      <w:pPr>
        <w:pStyle w:val="Heading1"/>
        <w:spacing w:after="120" w:before="260"/>
      </w:pPr>
      <w:r>
        <w:rPr>
          <w:rFonts w:ascii="Calibri" w:cs="Calibri" w:eastAsia="Calibri" w:hAnsi="Calibri"/>
          <w:b/>
          <w:bCs/>
          <w:color w:val="1F3864"/>
          <w:sz w:val="24"/>
          <w:szCs w:val="24"/>
        </w:rPr>
        <w:t xml:space="preserve">7  ON COMPLETION</w:t>
      </w:r>
    </w:p>
    <w:p>
      <w:pPr>
        <w:pStyle w:val="ListParagraph"/>
        <w:numPr>
          <w:ilvl w:val="0"/>
          <w:numId w:val="1"/>
        </w:numPr>
        <w:spacing w:after="60" w:line="245"/>
      </w:pPr>
      <w:r>
        <w:rPr>
          <w:rFonts w:ascii="Calibri" w:cs="Calibri" w:eastAsia="Calibri" w:hAnsi="Calibri"/>
          <w:sz w:val="17"/>
          <w:szCs w:val="17"/>
        </w:rPr>
        <w:t xml:space="preserve">Wash down the bench and the fume cupboard working surface.</w:t>
      </w:r>
    </w:p>
    <w:p>
      <w:pPr>
        <w:pStyle w:val="ListParagraph"/>
        <w:numPr>
          <w:ilvl w:val="0"/>
          <w:numId w:val="1"/>
        </w:numPr>
        <w:spacing w:after="60" w:line="245"/>
      </w:pPr>
      <w:r>
        <w:rPr>
          <w:rFonts w:ascii="Calibri" w:cs="Calibri" w:eastAsia="Calibri" w:hAnsi="Calibri"/>
          <w:sz w:val="17"/>
          <w:szCs w:val="17"/>
        </w:rPr>
        <w:t xml:space="preserve">Clean glassware and return it to the drying rack.</w:t>
      </w:r>
    </w:p>
    <w:p>
      <w:pPr>
        <w:pStyle w:val="ListParagraph"/>
        <w:numPr>
          <w:ilvl w:val="0"/>
          <w:numId w:val="1"/>
        </w:numPr>
        <w:spacing w:after="60" w:line="245"/>
      </w:pPr>
      <w:r>
        <w:rPr>
          <w:rFonts w:ascii="Calibri" w:cs="Calibri" w:eastAsia="Calibri" w:hAnsi="Calibri"/>
          <w:sz w:val="17"/>
          <w:szCs w:val="17"/>
        </w:rPr>
        <w:t xml:space="preserve">Dispose of residues to the correct waste stream - cyanide-bearing effluent does NOT go to the general drain.</w:t>
      </w:r>
    </w:p>
    <w:p>
      <w:pPr>
        <w:pStyle w:val="ListParagraph"/>
        <w:numPr>
          <w:ilvl w:val="0"/>
          <w:numId w:val="1"/>
        </w:numPr>
        <w:spacing w:after="60" w:line="245"/>
      </w:pPr>
      <w:r>
        <w:rPr>
          <w:rFonts w:ascii="Calibri" w:cs="Calibri" w:eastAsia="Calibri" w:hAnsi="Calibri"/>
          <w:sz w:val="17"/>
          <w:szCs w:val="17"/>
        </w:rPr>
        <w:t xml:space="preserve">Record the result, the method used and the instrument or balance identity.</w:t>
      </w:r>
    </w:p>
    <w:p>
      <w:pPr>
        <w:pStyle w:val="Heading1"/>
        <w:spacing w:after="120" w:before="260"/>
      </w:pPr>
      <w:r>
        <w:rPr>
          <w:rFonts w:ascii="Calibri" w:cs="Calibri" w:eastAsia="Calibri" w:hAnsi="Calibri"/>
          <w:b/>
          <w:bCs/>
          <w:color w:val="1F3864"/>
          <w:sz w:val="24"/>
          <w:szCs w:val="24"/>
        </w:rPr>
        <w:t xml:space="preserve">8  RECORDS</w:t>
      </w:r>
    </w:p>
    <w:p>
      <w:pPr>
        <w:pStyle w:val="ListParagraph"/>
        <w:numPr>
          <w:ilvl w:val="0"/>
          <w:numId w:val="1"/>
        </w:numPr>
        <w:spacing w:after="60" w:line="245"/>
      </w:pPr>
      <w:r>
        <w:rPr>
          <w:rFonts w:ascii="Calibri" w:cs="Calibri" w:eastAsia="Calibri" w:hAnsi="Calibri"/>
          <w:sz w:val="17"/>
          <w:szCs w:val="17"/>
        </w:rPr>
        <w:t xml:space="preserve">Field or bench data sheet - date, time, shift, operator, and every value determined.</w:t>
      </w:r>
    </w:p>
    <w:p>
      <w:pPr>
        <w:pStyle w:val="ListParagraph"/>
        <w:numPr>
          <w:ilvl w:val="0"/>
          <w:numId w:val="1"/>
        </w:numPr>
        <w:spacing w:after="60" w:line="245"/>
      </w:pPr>
      <w:r>
        <w:rPr>
          <w:rFonts w:ascii="Calibri" w:cs="Calibri" w:eastAsia="Calibri" w:hAnsi="Calibri"/>
          <w:sz w:val="17"/>
          <w:szCs w:val="17"/>
        </w:rPr>
        <w:t xml:space="preserve">Register or logbook entry and any handover signature.</w:t>
      </w:r>
    </w:p>
    <w:p>
      <w:pPr>
        <w:pStyle w:val="ListParagraph"/>
        <w:numPr>
          <w:ilvl w:val="0"/>
          <w:numId w:val="1"/>
        </w:numPr>
        <w:spacing w:after="60" w:line="245"/>
      </w:pPr>
      <w:r>
        <w:rPr>
          <w:rFonts w:ascii="Calibri" w:cs="Calibri" w:eastAsia="Calibri" w:hAnsi="Calibri"/>
          <w:sz w:val="17"/>
          <w:szCs w:val="17"/>
        </w:rPr>
        <w:t xml:space="preserve">Any step not completed, recorded with the reason.</w:t>
      </w:r>
    </w:p>
    <w:p>
      <w:pPr>
        <w:pStyle w:val="ListParagraph"/>
        <w:numPr>
          <w:ilvl w:val="0"/>
          <w:numId w:val="1"/>
        </w:numPr>
        <w:spacing w:after="60" w:line="245"/>
      </w:pPr>
      <w:r>
        <w:rPr>
          <w:rFonts w:ascii="Calibri" w:cs="Calibri" w:eastAsia="Calibri" w:hAnsi="Calibri"/>
          <w:sz w:val="17"/>
          <w:szCs w:val="17"/>
        </w:rPr>
        <w:t xml:space="preserve">Any control in Section 3 found not in place, reported to the Shift Supervisor and recorded.</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KBK-MIR-LAB-ENV-SOP-058 sludge transfer and ENV-SOP-106 container neutralisation</w:t>
      </w:r>
    </w:p>
    <w:p>
      <w:pPr>
        <w:pStyle w:val="ListParagraph"/>
        <w:numPr>
          <w:ilvl w:val="0"/>
          <w:numId w:val="1"/>
        </w:numPr>
        <w:spacing w:after="60" w:line="245"/>
      </w:pPr>
      <w:r>
        <w:rPr>
          <w:rFonts w:ascii="Calibri" w:cs="Calibri" w:eastAsia="Calibri" w:hAnsi="Calibri"/>
          <w:sz w:val="17"/>
          <w:szCs w:val="17"/>
        </w:rPr>
        <w:t xml:space="preserve">ILS quotation Q0023979 - 750 L tipping bin, 2 x 240 L Sulo, 60 L drum, crossflow scrubber with pH control</w:t>
      </w: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SWI-PRO-MET-206-007  ·  Met Lab Waste, Residue and Effluent Disposal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