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Met Lab Equipment Receipt, Installation and Commissioning Handover</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SWI-PRO-MET-206-014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JSEA-PRO-MET-206-014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Receive, install and commission the laboratory equipment, and hand it over as fit for use.</w:t>
      </w:r>
    </w:p>
    <w:p>
      <w:pPr>
        <w:spacing w:after="60" w:before="0" w:line="245"/>
      </w:pPr>
      <w:r>
        <w:rPr>
          <w:rFonts w:ascii="Calibri" w:cs="Calibri" w:eastAsia="Calibri" w:hAnsi="Calibri"/>
          <w:sz w:val="17"/>
          <w:szCs w:val="17"/>
        </w:rPr>
        <w:t xml:space="preserve">The laboratory is being bought as one package ex works. Nothing in it works until it is installed, connected, calibrated and proven.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Once, at laboratory establishment; then on every new instrument.</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SWI-PRO-MET-206-014 in HM-MMM-WHS-REG-XXX-R00-SWI-SWMS, tab SWI-MET. The matching hazard analysis is JSEA-PRO-MET-206-014.</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JSEA-PRO-MET-206-014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JSEA-PRO-MET-206-014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ILS quotation Q0023979 as the asset list</w:t>
      </w:r>
    </w:p>
    <w:p>
      <w:pPr>
        <w:pStyle w:val="ListParagraph"/>
        <w:numPr>
          <w:ilvl w:val="0"/>
          <w:numId w:val="1"/>
        </w:numPr>
        <w:spacing w:after="60" w:line="245"/>
      </w:pPr>
      <w:r>
        <w:rPr>
          <w:rFonts w:ascii="Calibri" w:cs="Calibri" w:eastAsia="Calibri" w:hAnsi="Calibri"/>
          <w:sz w:val="17"/>
          <w:szCs w:val="17"/>
        </w:rPr>
        <w:t xml:space="preserve">Installation drawings and services schedule</w:t>
      </w:r>
    </w:p>
    <w:p>
      <w:pPr>
        <w:pStyle w:val="ListParagraph"/>
        <w:numPr>
          <w:ilvl w:val="0"/>
          <w:numId w:val="1"/>
        </w:numPr>
        <w:spacing w:after="60" w:line="245"/>
      </w:pPr>
      <w:r>
        <w:rPr>
          <w:rFonts w:ascii="Calibri" w:cs="Calibri" w:eastAsia="Calibri" w:hAnsi="Calibri"/>
          <w:sz w:val="17"/>
          <w:szCs w:val="17"/>
        </w:rPr>
        <w:t xml:space="preserve">Calibration certificates</w:t>
      </w:r>
    </w:p>
    <w:p>
      <w:pPr>
        <w:pStyle w:val="ListParagraph"/>
        <w:numPr>
          <w:ilvl w:val="0"/>
          <w:numId w:val="1"/>
        </w:numPr>
        <w:spacing w:after="60" w:line="245"/>
      </w:pPr>
      <w:r>
        <w:rPr>
          <w:rFonts w:ascii="Calibri" w:cs="Calibri" w:eastAsia="Calibri" w:hAnsi="Calibri"/>
          <w:sz w:val="17"/>
          <w:szCs w:val="17"/>
        </w:rPr>
        <w:t xml:space="preserve">Commissioning checklists</w:t>
      </w:r>
    </w:p>
    <w:p>
      <w:pPr>
        <w:pStyle w:val="ListParagraph"/>
        <w:numPr>
          <w:ilvl w:val="0"/>
          <w:numId w:val="1"/>
        </w:numPr>
        <w:spacing w:after="60" w:line="245"/>
      </w:pPr>
      <w:r>
        <w:rPr>
          <w:rFonts w:ascii="Calibri" w:cs="Calibri" w:eastAsia="Calibri" w:hAnsi="Calibri"/>
          <w:sz w:val="17"/>
          <w:szCs w:val="17"/>
        </w:rPr>
        <w:t xml:space="preserve">Asset register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every delivery against quotation Q0023979 line by line. The quote is ex works, so shortages and transit damage are found here or not at all.</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services each item needs are in place before installation - power, water, drainage, compressed air, extraction.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Note the items that need work not in the vendor scope: the dust collector pulse-system wiring, its isolator, the GPO and the compressed air connection.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Register the 600 L air receiver as a pressure vessel and arrange its statutory inspection before it is put into service. This is a legal requirement in Queensland, not a commissioning nicety.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Install, level and connect each instrument per its manual.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Calibrate or verify every instrument and balance before it is used for any result, and file the certificates.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commissioning check on each instrument against a known standard and record the result.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Enter every item in the asset register with serial number, location, calibration interval and PM requirement.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Hand over formally, item by item, and record what is accepted and what is outstanding.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the asset list, ex works, 12 to 18 week lead time, with 10 per cent of value payable against commissioning</w:t>
      </w:r>
    </w:p>
    <w:p>
      <w:pPr>
        <w:pStyle w:val="ListParagraph"/>
        <w:numPr>
          <w:ilvl w:val="0"/>
          <w:numId w:val="1"/>
        </w:numPr>
        <w:spacing w:after="60" w:line="245"/>
      </w:pPr>
      <w:r>
        <w:rPr>
          <w:rFonts w:ascii="Calibri" w:cs="Calibri" w:eastAsia="Calibri" w:hAnsi="Calibri"/>
          <w:sz w:val="17"/>
          <w:szCs w:val="17"/>
        </w:rPr>
        <w:t xml:space="preserve">The quotation's stated validity expired 16 February 2026 - it is a quotation, not a purchase order</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SWI-PRO-MET-206-014  ·  Met Lab Equipment Receipt, Installation and Commissioning Handover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