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Automatic versus Manual Sample Bias Check and Reconciliation</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SWI-PRO-MET-207-006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JSEA-PRO-MET-207-006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207  Automatic Sampling and Online Analysers</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HM-PRC-VXX-PRO211  Automatic Sampling and Online Analyser Operation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Compare what the automatic samplers report against a manual sample taken at the same point and time.</w:t>
      </w:r>
    </w:p>
    <w:p>
      <w:pPr>
        <w:spacing w:after="60" w:before="0" w:line="245"/>
      </w:pPr>
      <w:r>
        <w:rPr>
          <w:rFonts w:ascii="Calibri" w:cs="Calibri" w:eastAsia="Calibri" w:hAnsi="Calibri"/>
          <w:sz w:val="17"/>
          <w:szCs w:val="17"/>
        </w:rPr>
        <w:t xml:space="preserve">This is the only check that an automatic sampler is telling the truth, and it is the one that most often gets skipped.</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022-XM-011 / -017</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IsaMill feed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032-XM-012</w:t>
            </w:r>
          </w:p>
        </w:tc>
        <w:tc>
          <w:tcPr>
            <w:tcW w:type="dxa" w:w="64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 tails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041-XM-013</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Metal adsorption tails</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051-XM-014</w:t>
            </w:r>
          </w:p>
        </w:tc>
        <w:tc>
          <w:tcPr>
            <w:tcW w:type="dxa" w:w="64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Final tails</w:t>
            </w:r>
          </w:p>
        </w:tc>
      </w:tr>
    </w:tbl>
    <w:p>
      <w:pPr>
        <w:spacing w:after="60" w:before="0" w:line="245"/>
      </w:pPr>
    </w:p>
    <w:p>
      <w:pPr>
        <w:spacing w:after="60" w:before="0" w:line="245"/>
      </w:pPr>
      <w:r>
        <w:rPr>
          <w:rFonts w:ascii="Calibri" w:cs="Calibri" w:eastAsia="Calibri" w:hAnsi="Calibri"/>
          <w:sz w:val="17"/>
          <w:szCs w:val="17"/>
        </w:rPr>
        <w:t xml:space="preserve">Frequency: Monthly on every sampler, and after any sampler repair or cutter change.</w:t>
      </w:r>
    </w:p>
    <w:p>
      <w:pPr>
        <w:spacing w:after="60" w:before="0" w:line="245"/>
      </w:pPr>
      <w:r>
        <w:rPr>
          <w:rFonts w:ascii="Calibri" w:cs="Calibri" w:eastAsia="Calibri" w:hAnsi="Calibri"/>
          <w:sz w:val="17"/>
          <w:szCs w:val="17"/>
        </w:rPr>
        <w:t xml:space="preserve">This instruction sits under Standard Work Procedure HM-PRC-VXX-PRO211 - Automatic Sampling and Online Analyser Operation. Read that procedure before carrying out this task for the first time.</w:t>
      </w:r>
    </w:p>
    <w:p>
      <w:pPr>
        <w:spacing w:after="60" w:before="0" w:line="245"/>
      </w:pPr>
      <w:r>
        <w:rPr>
          <w:rFonts w:ascii="Calibri" w:cs="Calibri" w:eastAsia="Calibri" w:hAnsi="Calibri"/>
          <w:sz w:val="17"/>
          <w:szCs w:val="17"/>
        </w:rPr>
        <w:t xml:space="preserve">Register line: SWI-PRO-MET-207-006 in HM-MMM-WHS-REG-XXX-R00-SWI-SWMS, tab SWI-MET. The matching hazard analysis is JSEA-PRO-MET-207-006.</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JSEA-PRO-MET-207-006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an agitator, sample cutter, pump or screen that starts without warning</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Fall from a tank top, launder platform, column platform or access ladder</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JSEA-PRO-MET-207-006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Notify the control room that the task is starting, and where you will be.</w:t>
      </w:r>
    </w:p>
    <w:p>
      <w:pPr>
        <w:pStyle w:val="ListParagraph"/>
        <w:numPr>
          <w:ilvl w:val="0"/>
          <w:numId w:val="1"/>
        </w:numPr>
        <w:spacing w:after="60" w:line="245"/>
      </w:pPr>
      <w:r>
        <w:rPr>
          <w:rFonts w:ascii="Calibri" w:cs="Calibri" w:eastAsia="Calibri" w:hAnsi="Calibri"/>
          <w:sz w:val="17"/>
          <w:szCs w:val="17"/>
        </w:rPr>
        <w:t xml:space="preserve">Confirm the personal gas monitor is on, in calibration date and reading clean.</w:t>
      </w:r>
    </w:p>
    <w:p>
      <w:pPr>
        <w:pStyle w:val="ListParagraph"/>
        <w:numPr>
          <w:ilvl w:val="0"/>
          <w:numId w:val="1"/>
        </w:numPr>
        <w:spacing w:after="60" w:line="245"/>
      </w:pPr>
      <w:r>
        <w:rPr>
          <w:rFonts w:ascii="Calibri" w:cs="Calibri" w:eastAsia="Calibri" w:hAnsi="Calibri"/>
          <w:sz w:val="17"/>
          <w:szCs w:val="17"/>
        </w:rPr>
        <w:t xml:space="preserve">Confirm the safety shower and eyewash nearest the work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area is fit - no restricted access, no gas alarm, no spill response in progress.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Manual sampling equipment per the Area 201 instructions</w:t>
      </w:r>
    </w:p>
    <w:p>
      <w:pPr>
        <w:pStyle w:val="ListParagraph"/>
        <w:numPr>
          <w:ilvl w:val="0"/>
          <w:numId w:val="1"/>
        </w:numPr>
        <w:spacing w:after="60" w:line="245"/>
      </w:pPr>
      <w:r>
        <w:rPr>
          <w:rFonts w:ascii="Calibri" w:cs="Calibri" w:eastAsia="Calibri" w:hAnsi="Calibri"/>
          <w:sz w:val="17"/>
          <w:szCs w:val="17"/>
        </w:rPr>
        <w:t xml:space="preserve">Pre-labelled containers</w:t>
      </w:r>
    </w:p>
    <w:p>
      <w:pPr>
        <w:pStyle w:val="ListParagraph"/>
        <w:numPr>
          <w:ilvl w:val="0"/>
          <w:numId w:val="1"/>
        </w:numPr>
        <w:spacing w:after="60" w:line="245"/>
      </w:pPr>
      <w:r>
        <w:rPr>
          <w:rFonts w:ascii="Calibri" w:cs="Calibri" w:eastAsia="Calibri" w:hAnsi="Calibri"/>
          <w:sz w:val="17"/>
          <w:szCs w:val="17"/>
        </w:rPr>
        <w:t xml:space="preserve">Stopwatch</w:t>
      </w:r>
    </w:p>
    <w:p>
      <w:pPr>
        <w:pStyle w:val="ListParagraph"/>
        <w:numPr>
          <w:ilvl w:val="0"/>
          <w:numId w:val="1"/>
        </w:numPr>
        <w:spacing w:after="60" w:line="245"/>
      </w:pPr>
      <w:r>
        <w:rPr>
          <w:rFonts w:ascii="Calibri" w:cs="Calibri" w:eastAsia="Calibri" w:hAnsi="Calibri"/>
          <w:sz w:val="17"/>
          <w:szCs w:val="17"/>
        </w:rPr>
        <w:t xml:space="preserve">Field data sheets</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Arrange the check with the control room and the laboratory so both samples are analysed in the same batch.</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Take the manual sample at the same point and over the same period the automatic sampler composites over. A grab against a composite is not a comparison.</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Take at least ten paired samples across the period - a single pair proves nothing.</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Submit the pairs to the laboratory as blind duplicates where possible.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Plot the automatic result against the manual result and test for bias, not just for scatter. A consistent offset in one direction is bias; scatter about the line is precision.</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Where bias is found, inspect the cutter and the sampler installation before concluding the laboratory is at fault.</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Report the bias with the monthly close and correct the accounting where a bias is confirmed.</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Repeat the check after any correction.</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Leave the area clean. Recover spillage to the drain, not to the ground.</w:t>
      </w:r>
    </w:p>
    <w:p>
      <w:pPr>
        <w:pStyle w:val="ListParagraph"/>
        <w:numPr>
          <w:ilvl w:val="0"/>
          <w:numId w:val="1"/>
        </w:numPr>
        <w:spacing w:after="60" w:line="245"/>
      </w:pPr>
      <w:r>
        <w:rPr>
          <w:rFonts w:ascii="Calibri" w:cs="Calibri" w:eastAsia="Calibri" w:hAnsi="Calibri"/>
          <w:sz w:val="17"/>
          <w:szCs w:val="17"/>
        </w:rPr>
        <w:t xml:space="preserve">Return all equipment to its storage point.</w:t>
      </w:r>
    </w:p>
    <w:p>
      <w:pPr>
        <w:pStyle w:val="ListParagraph"/>
        <w:numPr>
          <w:ilvl w:val="0"/>
          <w:numId w:val="1"/>
        </w:numPr>
        <w:spacing w:after="60" w:line="245"/>
      </w:pPr>
      <w:r>
        <w:rPr>
          <w:rFonts w:ascii="Calibri" w:cs="Calibri" w:eastAsia="Calibri" w:hAnsi="Calibri"/>
          <w:sz w:val="17"/>
          <w:szCs w:val="17"/>
        </w:rPr>
        <w:t xml:space="preserve">Record what was done, what was found and anything not completed.</w:t>
      </w:r>
    </w:p>
    <w:p>
      <w:pPr>
        <w:pStyle w:val="ListParagraph"/>
        <w:numPr>
          <w:ilvl w:val="0"/>
          <w:numId w:val="1"/>
        </w:numPr>
        <w:spacing w:after="60" w:line="245"/>
      </w:pPr>
      <w:r>
        <w:rPr>
          <w:rFonts w:ascii="Calibri" w:cs="Calibri" w:eastAsia="Calibri" w:hAnsi="Calibri"/>
          <w:sz w:val="17"/>
          <w:szCs w:val="17"/>
        </w:rPr>
        <w:t xml:space="preserve">Notify the control room that the task is complete.</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4034-PR-PRO-002 Sampling Protocol - the manual points to compare against</w:t>
      </w:r>
    </w:p>
    <w:p>
      <w:pPr>
        <w:pStyle w:val="ListParagraph"/>
        <w:numPr>
          <w:ilvl w:val="0"/>
          <w:numId w:val="1"/>
        </w:numPr>
        <w:spacing w:after="60" w:line="245"/>
      </w:pPr>
      <w:r>
        <w:rPr>
          <w:rFonts w:ascii="Calibri" w:cs="Calibri" w:eastAsia="Calibri" w:hAnsi="Calibri"/>
          <w:sz w:val="17"/>
          <w:szCs w:val="17"/>
        </w:rPr>
        <w:t xml:space="preserve">SWI-PRO-MET-201-001 to -018, the manual sampling instructions, issued</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SWI-PRO-MET-207-006  ·  Automatic versus Manual Sample Bias Check and Reconciliation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