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MASTER WHITE PAPER</w:t>
      </w:r>
    </w:p>
    <w:p>
      <w:pPr>
        <w:jc w:val="center"/>
      </w:pPr>
      <w:r>
        <w:rPr>
          <w:b/>
          <w:sz w:val="44"/>
        </w:rPr>
        <w:t>The Four-Dimension Lattice Model, the WIN Paradigm,</w:t>
        <w:br/>
        <w:t>and a Proposed Residual-Vacuum Correspondence</w:t>
      </w:r>
    </w:p>
    <w:p>
      <w:pPr>
        <w:jc w:val="center"/>
      </w:pPr>
      <w:r>
        <w:rPr>
          <w:i/>
          <w:sz w:val="22"/>
        </w:rPr>
        <w:t>A consolidation of the FDLM, WIN, Entropix, DME, MESA, EDF, SYK-tensor, and related manuscript program</w:t>
      </w:r>
    </w:p>
    <w:p>
      <w:pPr>
        <w:jc w:val="center"/>
      </w:pPr>
      <w:r>
        <w:rPr>
          <w:sz w:val="20"/>
        </w:rPr>
        <w:t>Research synthesis and hypothesis document • September 16, 2026</w:t>
      </w:r>
    </w:p>
    <w:p/>
    <w:p>
      <w:pPr>
        <w:pStyle w:val="Heading1"/>
      </w:pPr>
      <w:r>
        <w:t>Executive summary</w:t>
      </w:r>
    </w:p>
    <w:p>
      <w:r>
        <w:t>This white paper consolidates the project corpus into a single architecture while separating exact mathematical results, model definitions, empirical inputs, and open hypotheses. The proposed unification is deliberately conservative: the Four-Dimension Lattice Model (FDLM) is treated as the microscopic structural framework; the Warped Information Number (WIN) program is treated as a proposed effective information-theoretic description of dynamics and observation; the DME, MESA, ENTROPIX, EDF, SYK-tensor, and related documents are treated as antecedent or candidate mechanisms for equilibrium, regulation, selection, and emergent geometry.</w:t>
      </w:r>
    </w:p>
    <w:p>
      <w:r>
        <w:t>The strongest common structure is a finite 64-unit organization selected from d = 4, an 8×8 periodic torus, a mirror-symmetric lattice spectrum, and a 14-dimensional self-paired midpoint eigenspace. The FDLM documents interpret that residual as the particle sector and assign a two-mesh charge bookkeeping sum of −1. The central bridge hypothesis is that WIN quantities—information overlap, persistence, coding cost, calibration, and apparent holographic depth—are coarse-grained observables of the dynamically stabilized FDLM residual, not a second fundamental substrate.</w:t>
      </w:r>
    </w:p>
    <w:p>
      <w:pPr>
        <w:pStyle w:val="Heading1"/>
      </w:pPr>
      <w:r>
        <w:t>Central thesis</w:t>
      </w:r>
    </w:p>
    <w:p>
      <w:r>
        <w:t>The project is most coherent when stated as a two-level theory:</w:t>
      </w:r>
    </w:p>
    <w:p>
      <w:pPr>
        <w:jc w:val="center"/>
      </w:pPr>
      <w:r>
        <w:rPr>
          <w:rFonts w:ascii="Cambria Math" w:hAnsi="Cambria Math"/>
          <w:sz w:val="24"/>
        </w:rPr>
        <w:t>FDLM (microscopic lattice and residual spectrum)  →  WIN (effective information dynamics and observable readout)</w:t>
      </w:r>
    </w:p>
    <w:p>
      <w:r>
        <w:t>In this formulation, FDLM supplies a finite mathematical object and a candidate particle/vacuum residual. WIN supplies a proposed language for how persistent, coupled, coarse-grained states of that object could be represented as mass, time, interaction, entropy, and geometry. This does not assert that the correspondence is already proven. It defines the shortest technical path toward a falsifiable connection.</w:t>
      </w:r>
    </w:p>
    <w:p>
      <w:pPr>
        <w:pStyle w:val="Heading1"/>
      </w:pPr>
      <w:r>
        <w:t>Scope and status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D9EAF7"/>
          </w:tcPr>
          <w:p>
            <w:r/>
            <w:r>
              <w:rPr>
                <w:b/>
                <w:sz w:val="17"/>
              </w:rPr>
              <w:t>Category</w:t>
            </w:r>
          </w:p>
        </w:tc>
        <w:tc>
          <w:tcPr>
            <w:tcW w:type="dxa" w:w="3960"/>
            <w:vAlign w:val="center"/>
            <w:shd w:fill="D9EAF7"/>
          </w:tcPr>
          <w:p>
            <w:r/>
            <w:r>
              <w:rPr>
                <w:b/>
                <w:sz w:val="17"/>
              </w:rPr>
              <w:t>Meaning in this paper</w:t>
            </w:r>
          </w:p>
        </w:tc>
        <w:tc>
          <w:tcPr>
            <w:tcW w:type="dxa" w:w="3744"/>
            <w:vAlign w:val="center"/>
            <w:shd w:fill="D9EAF7"/>
          </w:tcPr>
          <w:p>
            <w:r/>
            <w:r>
              <w:rPr>
                <w:b/>
                <w:sz w:val="17"/>
              </w:rPr>
              <w:t>Examples</w:t>
            </w:r>
          </w:p>
        </w:tc>
      </w:tr>
      <w:tr>
        <w:tc>
          <w:tcPr>
            <w:tcW w:type="dxa" w:w="1944"/>
            <w:vAlign w:val="center"/>
          </w:tcPr>
          <w:p>
            <w:r/>
            <w:r>
              <w:rPr>
                <w:b w:val="0"/>
                <w:sz w:val="16"/>
              </w:rPr>
              <w:t>Exact mathematical result</w:t>
            </w:r>
          </w:p>
        </w:tc>
        <w:tc>
          <w:tcPr>
            <w:tcW w:type="dxa" w:w="3960"/>
            <w:vAlign w:val="center"/>
          </w:tcPr>
          <w:p>
            <w:r/>
            <w:r>
              <w:rPr>
                <w:b w:val="0"/>
                <w:sz w:val="16"/>
              </w:rPr>
              <w:t>Follows from a specified mathematical definition and can be independently reproduced.</w:t>
            </w:r>
          </w:p>
        </w:tc>
        <w:tc>
          <w:tcPr>
            <w:tcW w:type="dxa" w:w="3744"/>
            <w:vAlign w:val="center"/>
          </w:tcPr>
          <w:p>
            <w:r/>
            <w:r>
              <w:rPr>
                <w:b w:val="0"/>
                <w:sz w:val="16"/>
              </w:rPr>
              <w:t>Spectrum of a periodic square-lattice Laplacian; midpoint multiplicity for a given L.</w:t>
            </w:r>
          </w:p>
        </w:tc>
      </w:tr>
      <w:tr>
        <w:tc>
          <w:tcPr>
            <w:tcW w:type="dxa" w:w="1944"/>
            <w:vAlign w:val="center"/>
          </w:tcPr>
          <w:p>
            <w:r/>
            <w:r>
              <w:rPr>
                <w:b w:val="0"/>
                <w:sz w:val="16"/>
              </w:rPr>
              <w:t>Model definition</w:t>
            </w:r>
          </w:p>
        </w:tc>
        <w:tc>
          <w:tcPr>
            <w:tcW w:type="dxa" w:w="3960"/>
            <w:vAlign w:val="center"/>
          </w:tcPr>
          <w:p>
            <w:r/>
            <w:r>
              <w:rPr>
                <w:b w:val="0"/>
                <w:sz w:val="16"/>
              </w:rPr>
              <w:t>A stipulated identification or rule that structures the model but is not automatically compelled by the mathematics.</w:t>
            </w:r>
          </w:p>
        </w:tc>
        <w:tc>
          <w:tcPr>
            <w:tcW w:type="dxa" w:w="3744"/>
            <w:vAlign w:val="center"/>
          </w:tcPr>
          <w:p>
            <w:r/>
            <w:r>
              <w:rPr>
                <w:b w:val="0"/>
                <w:sz w:val="16"/>
              </w:rPr>
              <w:t>Calling the λ = 4 modes particles; assigning mesh charges.</w:t>
            </w:r>
          </w:p>
        </w:tc>
      </w:tr>
      <w:tr>
        <w:tc>
          <w:tcPr>
            <w:tcW w:type="dxa" w:w="1944"/>
            <w:vAlign w:val="center"/>
          </w:tcPr>
          <w:p>
            <w:r/>
            <w:r>
              <w:rPr>
                <w:b w:val="0"/>
                <w:sz w:val="16"/>
              </w:rPr>
              <w:t>Empirical input / calibration</w:t>
            </w:r>
          </w:p>
        </w:tc>
        <w:tc>
          <w:tcPr>
            <w:tcW w:type="dxa" w:w="3960"/>
            <w:vAlign w:val="center"/>
          </w:tcPr>
          <w:p>
            <w:r/>
            <w:r>
              <w:rPr>
                <w:b w:val="0"/>
                <w:sz w:val="16"/>
              </w:rPr>
              <w:t>A numerical input, selected rule, observed value, or stored datum not derived by the static lattice construction.</w:t>
            </w:r>
          </w:p>
        </w:tc>
        <w:tc>
          <w:tcPr>
            <w:tcW w:type="dxa" w:w="3744"/>
            <w:vAlign w:val="center"/>
          </w:tcPr>
          <w:p>
            <w:r/>
            <w:r>
              <w:rPr>
                <w:b w:val="0"/>
                <w:sz w:val="16"/>
              </w:rPr>
              <w:t>Flavor data; RGE inputs; candidate-form searches; calibration entries.</w:t>
            </w:r>
          </w:p>
        </w:tc>
      </w:tr>
      <w:tr>
        <w:tc>
          <w:tcPr>
            <w:tcW w:type="dxa" w:w="1944"/>
            <w:vAlign w:val="center"/>
          </w:tcPr>
          <w:p>
            <w:r/>
            <w:r>
              <w:rPr>
                <w:b w:val="0"/>
                <w:sz w:val="16"/>
              </w:rPr>
              <w:t>Hypothesis</w:t>
            </w:r>
          </w:p>
        </w:tc>
        <w:tc>
          <w:tcPr>
            <w:tcW w:type="dxa" w:w="3960"/>
            <w:vAlign w:val="center"/>
          </w:tcPr>
          <w:p>
            <w:r/>
            <w:r>
              <w:rPr>
                <w:b w:val="0"/>
                <w:sz w:val="16"/>
              </w:rPr>
              <w:t>A physical mechanism or bridge proposed for later derivation and test.</w:t>
            </w:r>
          </w:p>
        </w:tc>
        <w:tc>
          <w:tcPr>
            <w:tcW w:type="dxa" w:w="3744"/>
            <w:vAlign w:val="center"/>
          </w:tcPr>
          <w:p>
            <w:r/>
            <w:r>
              <w:rPr>
                <w:b w:val="0"/>
                <w:sz w:val="16"/>
              </w:rPr>
              <w:t>Residual charge stabilizes pressure; WIN emerges from FDLM dynamics.</w:t>
            </w:r>
          </w:p>
        </w:tc>
      </w:tr>
    </w:tbl>
    <w:p/>
    <w:p>
      <w:pPr>
        <w:pStyle w:val="Heading1"/>
      </w:pPr>
      <w:r>
        <w:t>Manuscript lineage</w:t>
      </w:r>
    </w:p>
    <w:p>
      <w:r>
        <w:t>The file collection has two chronological/intellectual streams. The early stream is information-first and often invokes SYK-tensor, DME, MESA, entropy regulation, holography, and higher-dimensional language. The later stream progressively concentrates the program around d = 4, N = 64, the 8×8 torus, the 14-mode residual, and the FDLM synthesis. The order below follows the apparent development sequence indicated by dates and dependencies; files with no verified timestamp are grouped by conceptual position.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D9EAF7"/>
          </w:tcPr>
          <w:p>
            <w:r/>
            <w:r>
              <w:rPr>
                <w:b/>
                <w:sz w:val="17"/>
              </w:rPr>
              <w:t>Phase</w:t>
            </w:r>
          </w:p>
        </w:tc>
        <w:tc>
          <w:tcPr>
            <w:tcW w:type="dxa" w:w="3168"/>
            <w:vAlign w:val="center"/>
            <w:shd w:fill="D9EAF7"/>
          </w:tcPr>
          <w:p>
            <w:r/>
            <w:r>
              <w:rPr>
                <w:b/>
                <w:sz w:val="17"/>
              </w:rPr>
              <w:t>White papers / files</w:t>
            </w:r>
          </w:p>
        </w:tc>
        <w:tc>
          <w:tcPr>
            <w:tcW w:type="dxa" w:w="3312"/>
            <w:vAlign w:val="center"/>
            <w:shd w:fill="D9EAF7"/>
          </w:tcPr>
          <w:p>
            <w:r/>
            <w:r>
              <w:rPr>
                <w:b/>
                <w:sz w:val="17"/>
              </w:rPr>
              <w:t>Core contribution</w:t>
            </w:r>
          </w:p>
        </w:tc>
        <w:tc>
          <w:tcPr>
            <w:tcW w:type="dxa" w:w="1944"/>
            <w:vAlign w:val="center"/>
            <w:shd w:fill="D9EAF7"/>
          </w:tcPr>
          <w:p>
            <w:r/>
            <w:r>
              <w:rPr>
                <w:b/>
                <w:sz w:val="17"/>
              </w:rPr>
              <w:t>Role in current synthesis</w:t>
            </w:r>
          </w:p>
        </w:tc>
      </w:tr>
      <w:tr>
        <w:tc>
          <w:tcPr>
            <w:tcW w:type="dxa" w:w="1368"/>
            <w:vAlign w:val="center"/>
          </w:tcPr>
          <w:p>
            <w:r/>
            <w:r>
              <w:rPr>
                <w:b w:val="0"/>
                <w:sz w:val="16"/>
              </w:rPr>
              <w:t>I. Information-first foundations</w:t>
            </w:r>
          </w:p>
        </w:tc>
        <w:tc>
          <w:tcPr>
            <w:tcW w:type="dxa" w:w="3168"/>
            <w:vAlign w:val="center"/>
          </w:tcPr>
          <w:p>
            <w:r/>
            <w:r>
              <w:rPr>
                <w:b w:val="0"/>
                <w:sz w:val="16"/>
              </w:rPr>
              <w:t>DME; ENTROPIX; MESA Protocol; EDF; ENTROPIA; Regulated Hyperscale; UV</w:t>
            </w:r>
          </w:p>
        </w:tc>
        <w:tc>
          <w:tcPr>
            <w:tcW w:type="dxa" w:w="3312"/>
            <w:vAlign w:val="center"/>
          </w:tcPr>
          <w:p>
            <w:r/>
            <w:r>
              <w:rPr>
                <w:b w:val="0"/>
                <w:sz w:val="16"/>
              </w:rPr>
              <w:t>Proposes equilibrium, irreversible information flow, selection, damping, regulation, and finite-capacity themes.</w:t>
            </w:r>
          </w:p>
        </w:tc>
        <w:tc>
          <w:tcPr>
            <w:tcW w:type="dxa" w:w="1944"/>
            <w:vAlign w:val="center"/>
          </w:tcPr>
          <w:p>
            <w:r/>
            <w:r>
              <w:rPr>
                <w:b w:val="0"/>
                <w:sz w:val="16"/>
              </w:rPr>
              <w:t>Candidate effective-dynamics vocabulary; not fundamental unless derived from FDLM.</w:t>
            </w:r>
          </w:p>
        </w:tc>
      </w:tr>
      <w:tr>
        <w:tc>
          <w:tcPr>
            <w:tcW w:type="dxa" w:w="1368"/>
            <w:vAlign w:val="center"/>
          </w:tcPr>
          <w:p>
            <w:r/>
            <w:r>
              <w:rPr>
                <w:b w:val="0"/>
                <w:sz w:val="16"/>
              </w:rPr>
              <w:t>II. Substrate and geometry program</w:t>
            </w:r>
          </w:p>
        </w:tc>
        <w:tc>
          <w:tcPr>
            <w:tcW w:type="dxa" w:w="3168"/>
            <w:vAlign w:val="center"/>
          </w:tcPr>
          <w:p>
            <w:r/>
            <w:r>
              <w:rPr>
                <w:b w:val="0"/>
                <w:sz w:val="16"/>
              </w:rPr>
              <w:t>SYK_TENSOR_TOE; SYK_TENSOR_TOE II; The Final Emergent Metric; The Unified Substrate; black_hole; Black Hole Evaporation; Sixth Dimension; Eighth Dimension</w:t>
            </w:r>
          </w:p>
        </w:tc>
        <w:tc>
          <w:tcPr>
            <w:tcW w:type="dxa" w:w="3312"/>
            <w:vAlign w:val="center"/>
          </w:tcPr>
          <w:p>
            <w:r/>
            <w:r>
              <w:rPr>
                <w:b w:val="0"/>
                <w:sz w:val="16"/>
              </w:rPr>
              <w:t>Introduces N = 64 substrate, scrambling, emergent metric, barrier/depth, and higher-dimensional interpretations.</w:t>
            </w:r>
          </w:p>
        </w:tc>
        <w:tc>
          <w:tcPr>
            <w:tcW w:type="dxa" w:w="1944"/>
            <w:vAlign w:val="center"/>
          </w:tcPr>
          <w:p>
            <w:r/>
            <w:r>
              <w:rPr>
                <w:b w:val="0"/>
                <w:sz w:val="16"/>
              </w:rPr>
              <w:t>Historical and heuristic source of emergent-geometry ideas; 5D/8D language requires reinterpretation or separate status.</w:t>
            </w:r>
          </w:p>
        </w:tc>
      </w:tr>
      <w:tr>
        <w:tc>
          <w:tcPr>
            <w:tcW w:type="dxa" w:w="1368"/>
            <w:vAlign w:val="center"/>
          </w:tcPr>
          <w:p>
            <w:r/>
            <w:r>
              <w:rPr>
                <w:b w:val="0"/>
                <w:sz w:val="16"/>
              </w:rPr>
              <w:t>III. WIN ontology</w:t>
            </w:r>
          </w:p>
        </w:tc>
        <w:tc>
          <w:tcPr>
            <w:tcW w:type="dxa" w:w="3168"/>
            <w:vAlign w:val="center"/>
          </w:tcPr>
          <w:p>
            <w:r/>
            <w:r>
              <w:rPr>
                <w:b w:val="0"/>
                <w:sz w:val="16"/>
              </w:rPr>
              <w:t>WIN; WIN PROOF; Scaling the WIN Substrate; WIN Paradigm—Stated in Standard Model Terms; Dark Photons; WIN Derivation of d4</w:t>
            </w:r>
          </w:p>
        </w:tc>
        <w:tc>
          <w:tcPr>
            <w:tcW w:type="dxa" w:w="3312"/>
            <w:vAlign w:val="center"/>
          </w:tcPr>
          <w:p>
            <w:r/>
            <w:r>
              <w:rPr>
                <w:b w:val="0"/>
                <w:sz w:val="16"/>
              </w:rPr>
              <w:t>Defines information overlap, code distance, persistence, warp/redshift, and a broad observable dictionary.</w:t>
            </w:r>
          </w:p>
        </w:tc>
        <w:tc>
          <w:tcPr>
            <w:tcW w:type="dxa" w:w="1944"/>
            <w:vAlign w:val="center"/>
          </w:tcPr>
          <w:p>
            <w:r/>
            <w:r>
              <w:rPr>
                <w:b w:val="0"/>
                <w:sz w:val="16"/>
              </w:rPr>
              <w:t>Proposed effective-observable layer.</w:t>
            </w:r>
          </w:p>
        </w:tc>
      </w:tr>
      <w:tr>
        <w:tc>
          <w:tcPr>
            <w:tcW w:type="dxa" w:w="1368"/>
            <w:vAlign w:val="center"/>
          </w:tcPr>
          <w:p>
            <w:r/>
            <w:r>
              <w:rPr>
                <w:b w:val="0"/>
                <w:sz w:val="16"/>
              </w:rPr>
              <w:t>IV. Mathematical applications</w:t>
            </w:r>
          </w:p>
        </w:tc>
        <w:tc>
          <w:tcPr>
            <w:tcW w:type="dxa" w:w="3168"/>
            <w:vAlign w:val="center"/>
          </w:tcPr>
          <w:p>
            <w:r/>
            <w:r>
              <w:rPr>
                <w:b w:val="0"/>
                <w:sz w:val="16"/>
              </w:rPr>
              <w:t>Riemann Hypothesis; BSD Conjecture; Hodge Conjecture; Navier–Stokes; Yang–Mills Mass Gap</w:t>
            </w:r>
          </w:p>
        </w:tc>
        <w:tc>
          <w:tcPr>
            <w:tcW w:type="dxa" w:w="3312"/>
            <w:vAlign w:val="center"/>
          </w:tcPr>
          <w:p>
            <w:r/>
            <w:r>
              <w:rPr>
                <w:b w:val="0"/>
                <w:sz w:val="16"/>
              </w:rPr>
              <w:t>Applies finite-information and regulation motifs to major mathematical/field-theory problems.</w:t>
            </w:r>
          </w:p>
        </w:tc>
        <w:tc>
          <w:tcPr>
            <w:tcW w:type="dxa" w:w="1944"/>
            <w:vAlign w:val="center"/>
          </w:tcPr>
          <w:p>
            <w:r/>
            <w:r>
              <w:rPr>
                <w:b w:val="0"/>
                <w:sz w:val="16"/>
              </w:rPr>
              <w:t>Speculative application branches; not prerequisites for FDLM.</w:t>
            </w:r>
          </w:p>
        </w:tc>
      </w:tr>
      <w:tr>
        <w:tc>
          <w:tcPr>
            <w:tcW w:type="dxa" w:w="1368"/>
            <w:vAlign w:val="center"/>
          </w:tcPr>
          <w:p>
            <w:r/>
            <w:r>
              <w:rPr>
                <w:b w:val="0"/>
                <w:sz w:val="16"/>
              </w:rPr>
              <w:t>V. FDLM lattice program</w:t>
            </w:r>
          </w:p>
        </w:tc>
        <w:tc>
          <w:tcPr>
            <w:tcW w:type="dxa" w:w="3168"/>
            <w:vAlign w:val="center"/>
          </w:tcPr>
          <w:p>
            <w:r/>
            <w:r>
              <w:rPr>
                <w:b w:val="0"/>
                <w:sz w:val="16"/>
              </w:rPr>
              <w:t>Four Dimension Lattice Model; 8×8 spectrum text; shell assignment; 5+9 split; self-canceling vacuum; δ function; single-point validation</w:t>
            </w:r>
          </w:p>
        </w:tc>
        <w:tc>
          <w:tcPr>
            <w:tcW w:type="dxa" w:w="3312"/>
            <w:vAlign w:val="center"/>
          </w:tcPr>
          <w:p>
            <w:r/>
            <w:r>
              <w:rPr>
                <w:b w:val="0"/>
                <w:sz w:val="16"/>
              </w:rPr>
              <w:t>Defines d = 4 → N = 64 → 8×8 torus → 14-mode midpoint residual and a particle-spectrum construction.</w:t>
            </w:r>
          </w:p>
        </w:tc>
        <w:tc>
          <w:tcPr>
            <w:tcW w:type="dxa" w:w="1944"/>
            <w:vAlign w:val="center"/>
          </w:tcPr>
          <w:p>
            <w:r/>
            <w:r>
              <w:rPr>
                <w:b w:val="0"/>
                <w:sz w:val="16"/>
              </w:rPr>
              <w:t>Current microscopic core.</w:t>
            </w:r>
          </w:p>
        </w:tc>
      </w:tr>
      <w:tr>
        <w:tc>
          <w:tcPr>
            <w:tcW w:type="dxa" w:w="1368"/>
            <w:vAlign w:val="center"/>
          </w:tcPr>
          <w:p>
            <w:r/>
            <w:r>
              <w:rPr>
                <w:b w:val="0"/>
                <w:sz w:val="16"/>
              </w:rPr>
              <w:t>VI. Calibration refinement</w:t>
            </w:r>
          </w:p>
        </w:tc>
        <w:tc>
          <w:tcPr>
            <w:tcW w:type="dxa" w:w="3168"/>
            <w:vAlign w:val="center"/>
          </w:tcPr>
          <w:p>
            <w:r/>
            <w:r>
              <w:rPr>
                <w:b w:val="0"/>
                <w:sz w:val="16"/>
              </w:rPr>
              <w:t>WIN Vacuum as a Calibration; WIN Vacuum as a Calibration Based Processor</w:t>
            </w:r>
          </w:p>
        </w:tc>
        <w:tc>
          <w:tcPr>
            <w:tcW w:type="dxa" w:w="3312"/>
            <w:vAlign w:val="center"/>
          </w:tcPr>
          <w:p>
            <w:r/>
            <w:r>
              <w:rPr>
                <w:b w:val="0"/>
                <w:sz w:val="16"/>
              </w:rPr>
              <w:t>Distinguishes derived processor architecture from stored/calibration content.</w:t>
            </w:r>
          </w:p>
        </w:tc>
        <w:tc>
          <w:tcPr>
            <w:tcW w:type="dxa" w:w="1944"/>
            <w:vAlign w:val="center"/>
          </w:tcPr>
          <w:p>
            <w:r/>
            <w:r>
              <w:rPr>
                <w:b w:val="0"/>
                <w:sz w:val="16"/>
              </w:rPr>
              <w:t>Most useful bridge document; supports a disciplined empirical boundary.</w:t>
            </w:r>
          </w:p>
        </w:tc>
      </w:tr>
    </w:tbl>
    <w:p/>
    <w:p>
      <w:pPr>
        <w:pStyle w:val="Heading1"/>
      </w:pPr>
      <w:r>
        <w:t>FDLM mathematical core</w:t>
      </w:r>
    </w:p>
    <w:p>
      <w:r>
        <w:t>The FDLM synthesis begins with a proposed d = 4 selection and then defines a finite lattice construction. The following equations are the central structural chain.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296"/>
            <w:vAlign w:val="center"/>
            <w:shd w:fill="D9EAF7"/>
          </w:tcPr>
          <w:p>
            <w:r/>
            <w:r>
              <w:rPr>
                <w:b/>
                <w:sz w:val="17"/>
              </w:rPr>
              <w:t>Step</w:t>
            </w:r>
          </w:p>
        </w:tc>
        <w:tc>
          <w:tcPr>
            <w:tcW w:type="dxa" w:w="3312"/>
            <w:vAlign w:val="center"/>
            <w:shd w:fill="D9EAF7"/>
          </w:tcPr>
          <w:p>
            <w:r/>
            <w:r>
              <w:rPr>
                <w:b/>
                <w:sz w:val="17"/>
              </w:rPr>
              <w:t>Equation</w:t>
            </w:r>
          </w:p>
        </w:tc>
        <w:tc>
          <w:tcPr>
            <w:tcW w:type="dxa" w:w="3024"/>
            <w:vAlign w:val="center"/>
            <w:shd w:fill="D9EAF7"/>
          </w:tcPr>
          <w:p>
            <w:r/>
            <w:r>
              <w:rPr>
                <w:b/>
                <w:sz w:val="17"/>
              </w:rPr>
              <w:t>Consequence</w:t>
            </w:r>
          </w:p>
        </w:tc>
        <w:tc>
          <w:tcPr>
            <w:tcW w:type="dxa" w:w="2880"/>
            <w:vAlign w:val="center"/>
            <w:shd w:fill="D9EAF7"/>
          </w:tcPr>
          <w:p>
            <w:r/>
            <w:r>
              <w:rPr>
                <w:b/>
                <w:sz w:val="17"/>
              </w:rPr>
              <w:t>Status</w:t>
            </w:r>
          </w:p>
        </w:tc>
      </w:tr>
      <w:tr>
        <w:tc>
          <w:tcPr>
            <w:tcW w:type="dxa" w:w="1296"/>
            <w:vAlign w:val="center"/>
          </w:tcPr>
          <w:p>
            <w:r/>
            <w:r>
              <w:rPr>
                <w:b w:val="0"/>
                <w:sz w:val="16"/>
              </w:rPr>
              <w:t>Dimension seed</w:t>
            </w:r>
          </w:p>
        </w:tc>
        <w:tc>
          <w:tcPr>
            <w:tcW w:type="dxa" w:w="3312"/>
            <w:vAlign w:val="center"/>
          </w:tcPr>
          <w:p>
            <w:r/>
            <w:r>
              <w:rPr>
                <w:b w:val="0"/>
                <w:sz w:val="16"/>
              </w:rPr>
              <w:t>2 helicities × 2 real components = 4</w:t>
            </w:r>
          </w:p>
        </w:tc>
        <w:tc>
          <w:tcPr>
            <w:tcW w:type="dxa" w:w="3024"/>
            <w:vAlign w:val="center"/>
          </w:tcPr>
          <w:p>
            <w:r/>
            <w:r>
              <w:rPr>
                <w:b w:val="0"/>
                <w:sz w:val="16"/>
              </w:rPr>
              <w:t>Motivates d = 4 from photon phase-space counting.</w:t>
            </w:r>
          </w:p>
        </w:tc>
        <w:tc>
          <w:tcPr>
            <w:tcW w:type="dxa" w:w="2880"/>
            <w:vAlign w:val="center"/>
          </w:tcPr>
          <w:p>
            <w:r/>
            <w:r>
              <w:rPr>
                <w:b w:val="0"/>
                <w:sz w:val="16"/>
              </w:rPr>
              <w:t>Physical interpretation plus standard degree-of-freedom counting; not by itself a derivation of spacetime dimension.</w:t>
            </w:r>
          </w:p>
        </w:tc>
      </w:tr>
      <w:tr>
        <w:tc>
          <w:tcPr>
            <w:tcW w:type="dxa" w:w="1296"/>
            <w:vAlign w:val="center"/>
          </w:tcPr>
          <w:p>
            <w:r/>
            <w:r>
              <w:rPr>
                <w:b w:val="0"/>
                <w:sz w:val="16"/>
              </w:rPr>
              <w:t>Structural counts</w:t>
            </w:r>
          </w:p>
        </w:tc>
        <w:tc>
          <w:tcPr>
            <w:tcW w:type="dxa" w:w="3312"/>
            <w:vAlign w:val="center"/>
          </w:tcPr>
          <w:p>
            <w:r/>
            <w:r>
              <w:rPr>
                <w:b w:val="0"/>
                <w:sz w:val="16"/>
              </w:rPr>
              <w:t>H = 2^d; V = (d − 1)2^d; N = d2^d</w:t>
            </w:r>
          </w:p>
        </w:tc>
        <w:tc>
          <w:tcPr>
            <w:tcW w:type="dxa" w:w="3024"/>
            <w:vAlign w:val="center"/>
          </w:tcPr>
          <w:p>
            <w:r/>
            <w:r>
              <w:rPr>
                <w:b w:val="0"/>
                <w:sz w:val="16"/>
              </w:rPr>
              <w:t>At d = 4: H = 16, V = 48, N = 64.</w:t>
            </w:r>
          </w:p>
        </w:tc>
        <w:tc>
          <w:tcPr>
            <w:tcW w:type="dxa" w:w="2880"/>
            <w:vAlign w:val="center"/>
          </w:tcPr>
          <w:p>
            <w:r/>
            <w:r>
              <w:rPr>
                <w:b w:val="0"/>
                <w:sz w:val="16"/>
              </w:rPr>
              <w:t>Exact algebra after model definitions.</w:t>
            </w:r>
          </w:p>
        </w:tc>
      </w:tr>
      <w:tr>
        <w:tc>
          <w:tcPr>
            <w:tcW w:type="dxa" w:w="1296"/>
            <w:vAlign w:val="center"/>
          </w:tcPr>
          <w:p>
            <w:r/>
            <w:r>
              <w:rPr>
                <w:b w:val="0"/>
                <w:sz w:val="16"/>
              </w:rPr>
              <w:t>Lattice scale</w:t>
            </w:r>
          </w:p>
        </w:tc>
        <w:tc>
          <w:tcPr>
            <w:tcW w:type="dxa" w:w="3312"/>
            <w:vAlign w:val="center"/>
          </w:tcPr>
          <w:p>
            <w:r/>
            <w:r>
              <w:rPr>
                <w:b w:val="0"/>
                <w:sz w:val="16"/>
              </w:rPr>
              <w:t>N = L²</w:t>
            </w:r>
          </w:p>
        </w:tc>
        <w:tc>
          <w:tcPr>
            <w:tcW w:type="dxa" w:w="3024"/>
            <w:vAlign w:val="center"/>
          </w:tcPr>
          <w:p>
            <w:r/>
            <w:r>
              <w:rPr>
                <w:b w:val="0"/>
                <w:sz w:val="16"/>
              </w:rPr>
              <w:t>N = 64 gives L = 8.</w:t>
            </w:r>
          </w:p>
        </w:tc>
        <w:tc>
          <w:tcPr>
            <w:tcW w:type="dxa" w:w="2880"/>
            <w:vAlign w:val="center"/>
          </w:tcPr>
          <w:p>
            <w:r/>
            <w:r>
              <w:rPr>
                <w:b w:val="0"/>
                <w:sz w:val="16"/>
              </w:rPr>
              <w:t>Exact arithmetic after choosing a 2D square product lattice.</w:t>
            </w:r>
          </w:p>
        </w:tc>
      </w:tr>
      <w:tr>
        <w:tc>
          <w:tcPr>
            <w:tcW w:type="dxa" w:w="1296"/>
            <w:vAlign w:val="center"/>
          </w:tcPr>
          <w:p>
            <w:r/>
            <w:r>
              <w:rPr>
                <w:b w:val="0"/>
                <w:sz w:val="16"/>
              </w:rPr>
              <w:t>Torus spectrum</w:t>
            </w:r>
          </w:p>
        </w:tc>
        <w:tc>
          <w:tcPr>
            <w:tcW w:type="dxa" w:w="3312"/>
            <w:vAlign w:val="center"/>
          </w:tcPr>
          <w:p>
            <w:r/>
            <w:r>
              <w:rPr>
                <w:b w:val="0"/>
                <w:sz w:val="16"/>
              </w:rPr>
              <w:t>λ(n₁,n₂) = 4 − 2 cos(2πn₁/L) − 2 cos(2πn₂/L)</w:t>
            </w:r>
          </w:p>
        </w:tc>
        <w:tc>
          <w:tcPr>
            <w:tcW w:type="dxa" w:w="3024"/>
            <w:vAlign w:val="center"/>
          </w:tcPr>
          <w:p>
            <w:r/>
            <w:r>
              <w:rPr>
                <w:b w:val="0"/>
                <w:sz w:val="16"/>
              </w:rPr>
              <w:t>Defines the discrete 5-point Laplacian spectrum.</w:t>
            </w:r>
          </w:p>
        </w:tc>
        <w:tc>
          <w:tcPr>
            <w:tcW w:type="dxa" w:w="2880"/>
            <w:vAlign w:val="center"/>
          </w:tcPr>
          <w:p>
            <w:r/>
            <w:r>
              <w:rPr>
                <w:b w:val="0"/>
                <w:sz w:val="16"/>
              </w:rPr>
              <w:t>Exact for the specified periodic graph.</w:t>
            </w:r>
          </w:p>
        </w:tc>
      </w:tr>
      <w:tr>
        <w:tc>
          <w:tcPr>
            <w:tcW w:type="dxa" w:w="1296"/>
            <w:vAlign w:val="center"/>
          </w:tcPr>
          <w:p>
            <w:r/>
            <w:r>
              <w:rPr>
                <w:b w:val="0"/>
                <w:sz w:val="16"/>
              </w:rPr>
              <w:t>Spectral involution</w:t>
            </w:r>
          </w:p>
        </w:tc>
        <w:tc>
          <w:tcPr>
            <w:tcW w:type="dxa" w:w="3312"/>
            <w:vAlign w:val="center"/>
          </w:tcPr>
          <w:p>
            <w:r/>
            <w:r>
              <w:rPr>
                <w:b w:val="0"/>
                <w:sz w:val="16"/>
              </w:rPr>
              <w:t>λ ↔ 8 − λ</w:t>
            </w:r>
          </w:p>
        </w:tc>
        <w:tc>
          <w:tcPr>
            <w:tcW w:type="dxa" w:w="3024"/>
            <w:vAlign w:val="center"/>
          </w:tcPr>
          <w:p>
            <w:r/>
            <w:r>
              <w:rPr>
                <w:b w:val="0"/>
                <w:sz w:val="16"/>
              </w:rPr>
              <w:t>Pairs spectrum about midpoint λ = 4.</w:t>
            </w:r>
          </w:p>
        </w:tc>
        <w:tc>
          <w:tcPr>
            <w:tcW w:type="dxa" w:w="2880"/>
            <w:vAlign w:val="center"/>
          </w:tcPr>
          <w:p>
            <w:r/>
            <w:r>
              <w:rPr>
                <w:b w:val="0"/>
                <w:sz w:val="16"/>
              </w:rPr>
              <w:t>Exact for the specified spectrum.</w:t>
            </w:r>
          </w:p>
        </w:tc>
      </w:tr>
      <w:tr>
        <w:tc>
          <w:tcPr>
            <w:tcW w:type="dxa" w:w="1296"/>
            <w:vAlign w:val="center"/>
          </w:tcPr>
          <w:p>
            <w:r/>
            <w:r>
              <w:rPr>
                <w:b w:val="0"/>
                <w:sz w:val="16"/>
              </w:rPr>
              <w:t>Midpoint multiplicity</w:t>
            </w:r>
          </w:p>
        </w:tc>
        <w:tc>
          <w:tcPr>
            <w:tcW w:type="dxa" w:w="3312"/>
            <w:vAlign w:val="center"/>
          </w:tcPr>
          <w:p>
            <w:r/>
            <w:r>
              <w:rPr>
                <w:b w:val="0"/>
                <w:sz w:val="16"/>
              </w:rPr>
              <w:t>mult(λ = 4) = 2(L − 1)</w:t>
            </w:r>
          </w:p>
        </w:tc>
        <w:tc>
          <w:tcPr>
            <w:tcW w:type="dxa" w:w="3024"/>
            <w:vAlign w:val="center"/>
          </w:tcPr>
          <w:p>
            <w:r/>
            <w:r>
              <w:rPr>
                <w:b w:val="0"/>
                <w:sz w:val="16"/>
              </w:rPr>
              <w:t>At L = 8: mult = 14.</w:t>
            </w:r>
          </w:p>
        </w:tc>
        <w:tc>
          <w:tcPr>
            <w:tcW w:type="dxa" w:w="2880"/>
            <w:vAlign w:val="center"/>
          </w:tcPr>
          <w:p>
            <w:r/>
            <w:r>
              <w:rPr>
                <w:b w:val="0"/>
                <w:sz w:val="16"/>
              </w:rPr>
              <w:t>Exact for this lattice.</w:t>
            </w:r>
          </w:p>
        </w:tc>
      </w:tr>
      <w:tr>
        <w:tc>
          <w:tcPr>
            <w:tcW w:type="dxa" w:w="1296"/>
            <w:vAlign w:val="center"/>
          </w:tcPr>
          <w:p>
            <w:r/>
            <w:r>
              <w:rPr>
                <w:b w:val="0"/>
                <w:sz w:val="16"/>
              </w:rPr>
              <w:t>Residual space</w:t>
            </w:r>
          </w:p>
        </w:tc>
        <w:tc>
          <w:tcPr>
            <w:tcW w:type="dxa" w:w="3312"/>
            <w:vAlign w:val="center"/>
          </w:tcPr>
          <w:p>
            <w:r/>
            <w:r>
              <w:rPr>
                <w:b w:val="0"/>
                <w:sz w:val="16"/>
              </w:rPr>
              <w:t>R = ker(Δ₈×₈ − 4I), dim R = 14</w:t>
            </w:r>
          </w:p>
        </w:tc>
        <w:tc>
          <w:tcPr>
            <w:tcW w:type="dxa" w:w="3024"/>
            <w:vAlign w:val="center"/>
          </w:tcPr>
          <w:p>
            <w:r/>
            <w:r>
              <w:rPr>
                <w:b w:val="0"/>
                <w:sz w:val="16"/>
              </w:rPr>
              <w:t>Defines a mathematically clean 14-dimensional midpoint subspace.</w:t>
            </w:r>
          </w:p>
        </w:tc>
        <w:tc>
          <w:tcPr>
            <w:tcW w:type="dxa" w:w="2880"/>
            <w:vAlign w:val="center"/>
          </w:tcPr>
          <w:p>
            <w:r/>
            <w:r>
              <w:rPr>
                <w:b w:val="0"/>
                <w:sz w:val="16"/>
              </w:rPr>
              <w:t>Direct definition / exact dimension.</w:t>
            </w:r>
          </w:p>
        </w:tc>
      </w:tr>
      <w:tr>
        <w:tc>
          <w:tcPr>
            <w:tcW w:type="dxa" w:w="1296"/>
            <w:vAlign w:val="center"/>
          </w:tcPr>
          <w:p>
            <w:r/>
            <w:r>
              <w:rPr>
                <w:b w:val="0"/>
                <w:sz w:val="16"/>
              </w:rPr>
              <w:t>Support partition</w:t>
            </w:r>
          </w:p>
        </w:tc>
        <w:tc>
          <w:tcPr>
            <w:tcW w:type="dxa" w:w="3312"/>
            <w:vAlign w:val="center"/>
          </w:tcPr>
          <w:p>
            <w:r/>
            <w:r>
              <w:rPr>
                <w:b w:val="0"/>
                <w:sz w:val="16"/>
              </w:rPr>
              <w:t>14 = 2 + 8 + 4</w:t>
            </w:r>
          </w:p>
        </w:tc>
        <w:tc>
          <w:tcPr>
            <w:tcW w:type="dxa" w:w="3024"/>
            <w:vAlign w:val="center"/>
          </w:tcPr>
          <w:p>
            <w:r/>
            <w:r>
              <w:rPr>
                <w:b w:val="0"/>
                <w:sz w:val="16"/>
              </w:rPr>
              <w:t>Mode classes are reported with supports 64, 48, 32.</w:t>
            </w:r>
          </w:p>
        </w:tc>
        <w:tc>
          <w:tcPr>
            <w:tcW w:type="dxa" w:w="2880"/>
            <w:vAlign w:val="center"/>
          </w:tcPr>
          <w:p>
            <w:r/>
            <w:r>
              <w:rPr>
                <w:b w:val="0"/>
                <w:sz w:val="16"/>
              </w:rPr>
              <w:t>Computable after choosing eigenvector/support conventions.</w:t>
            </w:r>
          </w:p>
        </w:tc>
      </w:tr>
      <w:tr>
        <w:tc>
          <w:tcPr>
            <w:tcW w:type="dxa" w:w="1296"/>
            <w:vAlign w:val="center"/>
          </w:tcPr>
          <w:p>
            <w:r/>
            <w:r>
              <w:rPr>
                <w:b w:val="0"/>
                <w:sz w:val="16"/>
              </w:rPr>
              <w:t>Mesh charge</w:t>
            </w:r>
          </w:p>
        </w:tc>
        <w:tc>
          <w:tcPr>
            <w:tcW w:type="dxa" w:w="3312"/>
            <w:vAlign w:val="center"/>
          </w:tcPr>
          <w:p>
            <w:r/>
            <w:r>
              <w:rPr>
                <w:b w:val="0"/>
                <w:sz w:val="16"/>
              </w:rPr>
              <w:t>Qouter = +2/3; Qmiddle = −5/3</w:t>
            </w:r>
          </w:p>
        </w:tc>
        <w:tc>
          <w:tcPr>
            <w:tcW w:type="dxa" w:w="3024"/>
            <w:vAlign w:val="center"/>
          </w:tcPr>
          <w:p>
            <w:r/>
            <w:r>
              <w:rPr>
                <w:b w:val="0"/>
                <w:sz w:val="16"/>
              </w:rPr>
              <w:t>Gives Qresidual = −1.</w:t>
            </w:r>
          </w:p>
        </w:tc>
        <w:tc>
          <w:tcPr>
            <w:tcW w:type="dxa" w:w="2880"/>
            <w:vAlign w:val="center"/>
          </w:tcPr>
          <w:p>
            <w:r/>
            <w:r>
              <w:rPr>
                <w:b w:val="0"/>
                <w:sz w:val="16"/>
              </w:rPr>
              <w:t>Model-defined charge assignment; arithmetic is exact afterward.</w:t>
            </w:r>
          </w:p>
        </w:tc>
      </w:tr>
    </w:tbl>
    <w:p/>
    <w:p>
      <w:r>
        <w:t>The most compact FDLM residual statement is:</w:t>
      </w:r>
    </w:p>
    <w:p>
      <w:pPr>
        <w:jc w:val="center"/>
      </w:pPr>
      <w:r>
        <w:rPr>
          <w:rFonts w:ascii="Cambria Math" w:hAnsi="Cambria Math"/>
          <w:sz w:val="24"/>
        </w:rPr>
        <w:t>R = ker(Δ₈×₈ − 4I),   dim(R) = 14</w:t>
      </w:r>
    </w:p>
    <w:p>
      <w:r>
        <w:t>The self-canceling-vacuum interpretation may be expressed schematically as:</w:t>
      </w:r>
    </w:p>
    <w:p>
      <w:pPr>
        <w:jc w:val="center"/>
      </w:pPr>
      <w:r>
        <w:rPr>
          <w:rFonts w:ascii="Cambria Math" w:hAnsi="Cambria Math"/>
          <w:sz w:val="24"/>
        </w:rPr>
        <w:t>H_total = H_paired + H_residual,   with paired spectral sectors organized by λ ↔ 8 − λ</w:t>
      </w:r>
    </w:p>
    <w:p>
      <w:r>
        <w:t>The documents interpret the non-midpoint pairs as cancelling and the midpoint fixed sector as surviving. A rigorous physics version requires an actual Hamiltonian, involution, and cancellation identity—e.g., cancellation of trace energy, vacuum energy, or an explicitly defined signed spectral functional. The Laplacian symmetry alone does not decide which physical quantity cancels.</w:t>
      </w:r>
    </w:p>
    <w:p>
      <w:pPr>
        <w:pStyle w:val="Heading1"/>
      </w:pPr>
      <w:r>
        <w:t>Particle mapping and mass relations</w:t>
      </w:r>
    </w:p>
    <w:p>
      <w:r>
        <w:t>FDLM associates the 14 residual modes with named particles and defines a mode label reported as N/4 through base-plus-δ rules. The white paper then uses an exponential mass readout:</w:t>
      </w:r>
    </w:p>
    <w:p>
      <w:pPr>
        <w:jc w:val="center"/>
      </w:pPr>
      <w:r>
        <w:rPr>
          <w:rFonts w:ascii="Cambria Math" w:hAnsi="Cambria Math"/>
          <w:sz w:val="24"/>
        </w:rPr>
        <w:t>m = A exp[−B(N/4)],   A = (2d − 1)N/2,   B = (d − 1)kL²/(2N²)</w:t>
      </w:r>
    </w:p>
    <w:p>
      <w:r>
        <w:t>The FDLM document reports A = 224 and B ≈ 0.541197 for d = 4, N = 64 and the stated kL. It reports an RMS log residual of 0.0449 dex for 12 listed charged-fermion and boson masses. The same document also acknowledges open questions concerning the origin of the particular A and B forms, the full lattice uniqueness claim, Wick-angle dynamics, and flavor mixing.</w:t>
      </w:r>
    </w:p>
    <w:p>
      <w:r>
        <w:t>A reviewer should distinguish the following: the algebraic evaluation of a chosen formula is exact; the physical derivation of the formula, the particle-to-mode map, and the inference that the fit demonstrates a zero-parameter physical law require independent validation and a transparent accounting of selection/search choices.</w:t>
      </w:r>
    </w:p>
    <w:p>
      <w:pPr>
        <w:pStyle w:val="Heading1"/>
      </w:pPr>
      <w:r>
        <w:t>WIN effective-observable program</w:t>
      </w:r>
    </w:p>
    <w:p>
      <w:r>
        <w:t>WIN is best read as a proposed semantic and dynamical layer. It introduces information-theoretic replacements for conventional quantities, including mutual information, code distance, and persistence depth. The broad objective is to describe observed physics as a projection or coarse-grained readout of protected information.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vAlign w:val="center"/>
            <w:shd w:fill="D9EAF7"/>
          </w:tcPr>
          <w:p>
            <w:r/>
            <w:r>
              <w:rPr>
                <w:b/>
                <w:sz w:val="17"/>
              </w:rPr>
              <w:t>WIN concept</w:t>
            </w:r>
          </w:p>
        </w:tc>
        <w:tc>
          <w:tcPr>
            <w:tcW w:type="dxa" w:w="3024"/>
            <w:vAlign w:val="center"/>
            <w:shd w:fill="D9EAF7"/>
          </w:tcPr>
          <w:p>
            <w:r/>
            <w:r>
              <w:rPr>
                <w:b/>
                <w:sz w:val="17"/>
              </w:rPr>
              <w:t>Stated equation / correspondence</w:t>
            </w:r>
          </w:p>
        </w:tc>
        <w:tc>
          <w:tcPr>
            <w:tcW w:type="dxa" w:w="3384"/>
            <w:vAlign w:val="center"/>
            <w:shd w:fill="D9EAF7"/>
          </w:tcPr>
          <w:p>
            <w:r/>
            <w:r>
              <w:rPr>
                <w:b/>
                <w:sz w:val="17"/>
              </w:rPr>
              <w:t>Potential FDLM interpretation</w:t>
            </w:r>
          </w:p>
        </w:tc>
        <w:tc>
          <w:tcPr>
            <w:tcW w:type="dxa" w:w="2376"/>
            <w:vAlign w:val="center"/>
            <w:shd w:fill="D9EAF7"/>
          </w:tcPr>
          <w:p>
            <w:r/>
            <w:r>
              <w:rPr>
                <w:b/>
                <w:sz w:val="17"/>
              </w:rPr>
              <w:t>Current status</w:t>
            </w:r>
          </w:p>
        </w:tc>
      </w:tr>
      <w:tr>
        <w:tc>
          <w:tcPr>
            <w:tcW w:type="dxa" w:w="1728"/>
            <w:vAlign w:val="center"/>
          </w:tcPr>
          <w:p>
            <w:r/>
            <w:r>
              <w:rPr>
                <w:b w:val="0"/>
                <w:sz w:val="16"/>
              </w:rPr>
              <w:t>Interaction / coupling</w:t>
            </w:r>
          </w:p>
        </w:tc>
        <w:tc>
          <w:tcPr>
            <w:tcW w:type="dxa" w:w="3024"/>
            <w:vAlign w:val="center"/>
          </w:tcPr>
          <w:p>
            <w:r/>
            <w:r>
              <w:rPr>
                <w:b w:val="0"/>
                <w:sz w:val="16"/>
              </w:rPr>
              <w:t>g_int = I(A:B) / S_total</w:t>
            </w:r>
          </w:p>
        </w:tc>
        <w:tc>
          <w:tcPr>
            <w:tcW w:type="dxa" w:w="3384"/>
            <w:vAlign w:val="center"/>
          </w:tcPr>
          <w:p>
            <w:r/>
            <w:r>
              <w:rPr>
                <w:b w:val="0"/>
                <w:sz w:val="16"/>
              </w:rPr>
              <w:t>Mutual information between FDLM sectors or modes.</w:t>
            </w:r>
          </w:p>
        </w:tc>
        <w:tc>
          <w:tcPr>
            <w:tcW w:type="dxa" w:w="2376"/>
            <w:vAlign w:val="center"/>
          </w:tcPr>
          <w:p>
            <w:r/>
            <w:r>
              <w:rPr>
                <w:b w:val="0"/>
                <w:sz w:val="16"/>
              </w:rPr>
              <w:t>Proposed; FDLM state/partition definitions are missing.</w:t>
            </w:r>
          </w:p>
        </w:tc>
      </w:tr>
      <w:tr>
        <w:tc>
          <w:tcPr>
            <w:tcW w:type="dxa" w:w="1728"/>
            <w:vAlign w:val="center"/>
          </w:tcPr>
          <w:p>
            <w:r/>
            <w:r>
              <w:rPr>
                <w:b w:val="0"/>
                <w:sz w:val="16"/>
              </w:rPr>
              <w:t>Persistence / time</w:t>
            </w:r>
          </w:p>
        </w:tc>
        <w:tc>
          <w:tcPr>
            <w:tcW w:type="dxa" w:w="3024"/>
            <w:vAlign w:val="center"/>
          </w:tcPr>
          <w:p>
            <w:r/>
            <w:r>
              <w:rPr>
                <w:b w:val="0"/>
                <w:sz w:val="16"/>
              </w:rPr>
              <w:t>τ_WIN = 1 / Γ_info</w:t>
            </w:r>
          </w:p>
        </w:tc>
        <w:tc>
          <w:tcPr>
            <w:tcW w:type="dxa" w:w="3384"/>
            <w:vAlign w:val="center"/>
          </w:tcPr>
          <w:p>
            <w:r/>
            <w:r>
              <w:rPr>
                <w:b w:val="0"/>
                <w:sz w:val="16"/>
              </w:rPr>
              <w:t>Lifetime or update persistence of a FDLM residual state.</w:t>
            </w:r>
          </w:p>
        </w:tc>
        <w:tc>
          <w:tcPr>
            <w:tcW w:type="dxa" w:w="2376"/>
            <w:vAlign w:val="center"/>
          </w:tcPr>
          <w:p>
            <w:r/>
            <w:r>
              <w:rPr>
                <w:b w:val="0"/>
                <w:sz w:val="16"/>
              </w:rPr>
              <w:t>Proposed; requires a dynamical channel.</w:t>
            </w:r>
          </w:p>
        </w:tc>
      </w:tr>
      <w:tr>
        <w:tc>
          <w:tcPr>
            <w:tcW w:type="dxa" w:w="1728"/>
            <w:vAlign w:val="center"/>
          </w:tcPr>
          <w:p>
            <w:r/>
            <w:r>
              <w:rPr>
                <w:b w:val="0"/>
                <w:sz w:val="16"/>
              </w:rPr>
              <w:t>Mass / protection cost</w:t>
            </w:r>
          </w:p>
        </w:tc>
        <w:tc>
          <w:tcPr>
            <w:tcW w:type="dxa" w:w="3024"/>
            <w:vAlign w:val="center"/>
          </w:tcPr>
          <w:p>
            <w:r/>
            <w:r>
              <w:rPr>
                <w:b w:val="0"/>
                <w:sz w:val="16"/>
              </w:rPr>
              <w:t>m_WIN = d_code ln 2 / kL</w:t>
            </w:r>
          </w:p>
        </w:tc>
        <w:tc>
          <w:tcPr>
            <w:tcW w:type="dxa" w:w="3384"/>
            <w:vAlign w:val="center"/>
          </w:tcPr>
          <w:p>
            <w:r/>
            <w:r>
              <w:rPr>
                <w:b w:val="0"/>
                <w:sz w:val="16"/>
              </w:rPr>
              <w:t>Effective protection or error-cost functional of an FDLM mode.</w:t>
            </w:r>
          </w:p>
        </w:tc>
        <w:tc>
          <w:tcPr>
            <w:tcW w:type="dxa" w:w="2376"/>
            <w:vAlign w:val="center"/>
          </w:tcPr>
          <w:p>
            <w:r/>
            <w:r>
              <w:rPr>
                <w:b w:val="0"/>
                <w:sz w:val="16"/>
              </w:rPr>
              <w:t>Proposed; no FDLM coding construction supplied.</w:t>
            </w:r>
          </w:p>
        </w:tc>
      </w:tr>
      <w:tr>
        <w:tc>
          <w:tcPr>
            <w:tcW w:type="dxa" w:w="1728"/>
            <w:vAlign w:val="center"/>
          </w:tcPr>
          <w:p>
            <w:r/>
            <w:r>
              <w:rPr>
                <w:b w:val="0"/>
                <w:sz w:val="16"/>
              </w:rPr>
              <w:t>Information redshift</w:t>
            </w:r>
          </w:p>
        </w:tc>
        <w:tc>
          <w:tcPr>
            <w:tcW w:type="dxa" w:w="3024"/>
            <w:vAlign w:val="center"/>
          </w:tcPr>
          <w:p>
            <w:r/>
            <w:r>
              <w:rPr>
                <w:b w:val="0"/>
                <w:sz w:val="16"/>
              </w:rPr>
              <w:t>R = log₂(N_UV/N_IR)</w:t>
            </w:r>
          </w:p>
        </w:tc>
        <w:tc>
          <w:tcPr>
            <w:tcW w:type="dxa" w:w="3384"/>
            <w:vAlign w:val="center"/>
          </w:tcPr>
          <w:p>
            <w:r/>
            <w:r>
              <w:rPr>
                <w:b w:val="0"/>
                <w:sz w:val="16"/>
              </w:rPr>
              <w:t>Coarse-graining or scale-separation between microscopic and effective FDLM descriptions.</w:t>
            </w:r>
          </w:p>
        </w:tc>
        <w:tc>
          <w:tcPr>
            <w:tcW w:type="dxa" w:w="2376"/>
            <w:vAlign w:val="center"/>
          </w:tcPr>
          <w:p>
            <w:r/>
            <w:r>
              <w:rPr>
                <w:b w:val="0"/>
                <w:sz w:val="16"/>
              </w:rPr>
              <w:t>Possible reinterpretation; not derived.</w:t>
            </w:r>
          </w:p>
        </w:tc>
      </w:tr>
      <w:tr>
        <w:tc>
          <w:tcPr>
            <w:tcW w:type="dxa" w:w="1728"/>
            <w:vAlign w:val="center"/>
          </w:tcPr>
          <w:p>
            <w:r/>
            <w:r>
              <w:rPr>
                <w:b w:val="0"/>
                <w:sz w:val="16"/>
              </w:rPr>
              <w:t>Metric / geometry</w:t>
            </w:r>
          </w:p>
        </w:tc>
        <w:tc>
          <w:tcPr>
            <w:tcW w:type="dxa" w:w="3024"/>
            <w:vAlign w:val="center"/>
          </w:tcPr>
          <w:p>
            <w:r/>
            <w:r>
              <w:rPr>
                <w:b w:val="0"/>
                <w:sz w:val="16"/>
              </w:rPr>
              <w:t>g_eff ~ G[ρ, I_mut, ∇S]</w:t>
            </w:r>
          </w:p>
        </w:tc>
        <w:tc>
          <w:tcPr>
            <w:tcW w:type="dxa" w:w="3384"/>
            <w:vAlign w:val="center"/>
          </w:tcPr>
          <w:p>
            <w:r/>
            <w:r>
              <w:rPr>
                <w:b w:val="0"/>
                <w:sz w:val="16"/>
              </w:rPr>
              <w:t>Emergent geometry functional of FDLM state/information data.</w:t>
            </w:r>
          </w:p>
        </w:tc>
        <w:tc>
          <w:tcPr>
            <w:tcW w:type="dxa" w:w="2376"/>
            <w:vAlign w:val="center"/>
          </w:tcPr>
          <w:p>
            <w:r/>
            <w:r>
              <w:rPr>
                <w:b w:val="0"/>
                <w:sz w:val="16"/>
              </w:rPr>
              <w:t>Target hypothesis, not established.</w:t>
            </w:r>
          </w:p>
        </w:tc>
      </w:tr>
      <w:tr>
        <w:tc>
          <w:tcPr>
            <w:tcW w:type="dxa" w:w="1728"/>
            <w:vAlign w:val="center"/>
          </w:tcPr>
          <w:p>
            <w:r/>
            <w:r>
              <w:rPr>
                <w:b w:val="0"/>
                <w:sz w:val="16"/>
              </w:rPr>
              <w:t>Master quantity</w:t>
            </w:r>
          </w:p>
        </w:tc>
        <w:tc>
          <w:tcPr>
            <w:tcW w:type="dxa" w:w="3024"/>
            <w:vAlign w:val="center"/>
          </w:tcPr>
          <w:p>
            <w:r/>
            <w:r>
              <w:rPr>
                <w:b w:val="0"/>
                <w:sz w:val="16"/>
              </w:rPr>
              <w:t>W = ∫ Σ (δI_mut/δz) Δ_code(P) dχ</w:t>
            </w:r>
          </w:p>
        </w:tc>
        <w:tc>
          <w:tcPr>
            <w:tcW w:type="dxa" w:w="3384"/>
            <w:vAlign w:val="center"/>
          </w:tcPr>
          <w:p>
            <w:r/>
            <w:r>
              <w:rPr>
                <w:b w:val="0"/>
                <w:sz w:val="16"/>
              </w:rPr>
              <w:t>Candidate effective functional if z becomes scale/processing depth.</w:t>
            </w:r>
          </w:p>
        </w:tc>
        <w:tc>
          <w:tcPr>
            <w:tcW w:type="dxa" w:w="2376"/>
            <w:vAlign w:val="center"/>
          </w:tcPr>
          <w:p>
            <w:r/>
            <w:r>
              <w:rPr>
                <w:b w:val="0"/>
                <w:sz w:val="16"/>
              </w:rPr>
              <w:t>Not derived from FDLM.</w:t>
            </w:r>
          </w:p>
        </w:tc>
      </w:tr>
    </w:tbl>
    <w:p/>
    <w:p>
      <w:pPr>
        <w:pStyle w:val="Heading1"/>
      </w:pPr>
      <w:r>
        <w:t>Proposed FDLM–WIN correspondence</w:t>
      </w:r>
    </w:p>
    <w:p>
      <w:r>
        <w:t>The proposed connection does not require a literal additional spatial dimension. It treats the older WIN “warp” or “depth” language as a candidate coarse-graining, processing, or renormalization coordinate of the FDLM residual. This is the least contradictory synthesis because the FDLM document explicitly makes the 4D lattice primary and retires literal AdS₅-bulk language.</w:t>
      </w:r>
    </w:p>
    <w:p>
      <w:pPr>
        <w:jc w:val="center"/>
      </w:pPr>
      <w:r>
        <w:rPr>
          <w:rFonts w:ascii="Cambria Math" w:hAnsi="Cambria Math"/>
          <w:sz w:val="24"/>
        </w:rPr>
        <w:t>ρ_R = P_R ρ P_R</w:t>
      </w:r>
    </w:p>
    <w:p>
      <w:r>
        <w:t>Here P_R is the projector onto the 14-dimensional midpoint residual R. This equation is proposed as the formal starting point: all effective WIN quantities should be defined from the projected state ρ_R, not from an independent substrate.</w:t>
      </w:r>
    </w:p>
    <w:p>
      <w:pPr>
        <w:jc w:val="center"/>
      </w:pPr>
      <w:r>
        <w:rPr>
          <w:rFonts w:ascii="Cambria Math" w:hAnsi="Cambria Math"/>
          <w:sz w:val="24"/>
        </w:rPr>
        <w:t>dρ_R/dt = −i[H_R, ρ_R] + D_env[ρ_R]</w:t>
      </w:r>
    </w:p>
    <w:p>
      <w:r>
        <w:t>This is a proposed open-system evolution algorithm. H_R would be a Hamiltonian derived from the FDLM lattice plus internal/gauge degrees of freedom; D_env would represent coarse-graining, damping, calibration, or coupling to paired/background modes. This is not contained as a completed derivation in the papers, but it identifies the mathematical object the program needs.</w:t>
      </w:r>
    </w:p>
    <w:p>
      <w:pPr>
        <w:jc w:val="center"/>
      </w:pPr>
      <w:r>
        <w:rPr>
          <w:rFonts w:ascii="Cambria Math" w:hAnsi="Cambria Math"/>
          <w:sz w:val="24"/>
        </w:rPr>
        <w:t>I(A:B) = S(ρ_A) + S(ρ_B) − S(ρ_AB)</w:t>
      </w:r>
    </w:p>
    <w:p>
      <w:r>
        <w:t>Once a tensor-factor or subsystem decomposition of the FDLM state space is defined, mutual information becomes a standard computable quantity rather than a metaphor. WIN coupling candidates could then be tested using g_int = I(A:B)/S_total.</w:t>
      </w:r>
    </w:p>
    <w:p>
      <w:pPr>
        <w:jc w:val="center"/>
      </w:pPr>
      <w:r>
        <w:rPr>
          <w:rFonts w:ascii="Cambria Math" w:hAnsi="Cambria Math"/>
          <w:sz w:val="24"/>
        </w:rPr>
        <w:t>z_eff(t) = ∫₀ᵗ f[I_mut(t′), S(t′), Γ_info(t′)] dt′</w:t>
      </w:r>
    </w:p>
    <w:p>
      <w:r>
        <w:t>This proposed equation redefines holographic/warp depth as accumulated processing scale rather than an additional spacetime coordinate. The specific function f must be derived from the transfer rule or Hamiltonian. Until then, z_eff is a useful design variable, not a physical prediction.</w:t>
      </w:r>
    </w:p>
    <w:p>
      <w:pPr>
        <w:pStyle w:val="Heading1"/>
      </w:pPr>
      <w:r>
        <w:t>Stabilization hypothesis</w:t>
      </w:r>
    </w:p>
    <w:p>
      <w:r>
        <w:t>The project’s distinctive physical hypothesis is that the residual particle sector is not merely a classification of modes but contributes to vacuum stabilization. FDLM supplies the mesh bookkeeping result:</w:t>
      </w:r>
    </w:p>
    <w:p>
      <w:pPr>
        <w:jc w:val="center"/>
      </w:pPr>
      <w:r>
        <w:rPr>
          <w:rFonts w:ascii="Cambria Math" w:hAnsi="Cambria Math"/>
          <w:sz w:val="24"/>
        </w:rPr>
        <w:t>Q_residual = Q_outer + Q_middle = +2/3 − 5/3 = −1</w:t>
      </w:r>
    </w:p>
    <w:p>
      <w:r>
        <w:t>The documents also discuss residual pressure/cancellation language. To make this scientifically meaningful, the charge must enter a defined energy or pressure functional. The minimal proposed formalism is:</w:t>
      </w:r>
    </w:p>
    <w:p>
      <w:pPr>
        <w:jc w:val="center"/>
      </w:pPr>
      <w:r>
        <w:rPr>
          <w:rFonts w:ascii="Cambria Math" w:hAnsi="Cambria Math"/>
          <w:sz w:val="24"/>
        </w:rPr>
        <w:t>Φ_vac[ρ_R] = E_spec[ρ_R] + μ Q_residual − T_eff S[ρ_R] + Γ_reg[ρ_R]</w:t>
      </w:r>
    </w:p>
    <w:p>
      <w:pPr>
        <w:jc w:val="center"/>
      </w:pPr>
      <w:r>
        <w:rPr>
          <w:rFonts w:ascii="Cambria Math" w:hAnsi="Cambria Math"/>
          <w:sz w:val="24"/>
        </w:rPr>
        <w:t>δΦ_vac/δρ_R = 0,   and   δ²Φ_vac/δρ_R² &gt; 0</w:t>
      </w:r>
    </w:p>
    <w:p>
      <w:r>
        <w:t>Interpretation: E_spec is a spectral/lattice energy; μQ_residual is the charge-coupled contribution; T_effS is an entropic term; and Γ_reg is a regulator or environmental term motivated by the older DME/MESA/EDF program. If μ &gt; 0 and Q_residual = −1, the charge term is negative. A real derivation must establish the allowed form and sign of μ from the FDLM action, show that Φ_vac is physically meaningful, and recover conventional stress-energy or cosmological dynamics in an appropriate limit.</w:t>
      </w:r>
    </w:p>
    <w:p>
      <w:r>
        <w:t>Thus, the correct present claim is not “the negative charge has been proven to stabilize the universe.” The defensible claim is: “the FDLM construction supplies a residual mode sector with defined net charge −1, and the project hypothesizes that this sector enters a vacuum-stability functional whose dynamical derivation remains open.”</w:t>
      </w:r>
    </w:p>
    <w:p>
      <w:pPr>
        <w:pStyle w:val="Heading1"/>
      </w:pPr>
      <w:r>
        <w:t>Algorithms required for the connection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D9EAF7"/>
          </w:tcPr>
          <w:p>
            <w:r/>
            <w:r>
              <w:rPr>
                <w:b/>
                <w:sz w:val="17"/>
              </w:rPr>
              <w:t>Algorithm</w:t>
            </w:r>
          </w:p>
        </w:tc>
        <w:tc>
          <w:tcPr>
            <w:tcW w:type="dxa" w:w="2304"/>
            <w:vAlign w:val="center"/>
            <w:shd w:fill="D9EAF7"/>
          </w:tcPr>
          <w:p>
            <w:r/>
            <w:r>
              <w:rPr>
                <w:b/>
                <w:sz w:val="17"/>
              </w:rPr>
              <w:t>Input</w:t>
            </w:r>
          </w:p>
        </w:tc>
        <w:tc>
          <w:tcPr>
            <w:tcW w:type="dxa" w:w="2232"/>
            <w:vAlign w:val="center"/>
            <w:shd w:fill="D9EAF7"/>
          </w:tcPr>
          <w:p>
            <w:r/>
            <w:r>
              <w:rPr>
                <w:b/>
                <w:sz w:val="17"/>
              </w:rPr>
              <w:t>Output</w:t>
            </w:r>
          </w:p>
        </w:tc>
        <w:tc>
          <w:tcPr>
            <w:tcW w:type="dxa" w:w="4176"/>
            <w:vAlign w:val="center"/>
            <w:shd w:fill="D9EAF7"/>
          </w:tcPr>
          <w:p>
            <w:r/>
            <w:r>
              <w:rPr>
                <w:b/>
                <w:sz w:val="17"/>
              </w:rPr>
              <w:t>Purpose and acceptance condition</w:t>
            </w:r>
          </w:p>
        </w:tc>
      </w:tr>
      <w:tr>
        <w:tc>
          <w:tcPr>
            <w:tcW w:type="dxa" w:w="1800"/>
            <w:vAlign w:val="center"/>
          </w:tcPr>
          <w:p>
            <w:r/>
            <w:r>
              <w:rPr>
                <w:b w:val="0"/>
                <w:sz w:val="16"/>
              </w:rPr>
              <w:t>A. FDLM spectral verifier</w:t>
            </w:r>
          </w:p>
        </w:tc>
        <w:tc>
          <w:tcPr>
            <w:tcW w:type="dxa" w:w="2304"/>
            <w:vAlign w:val="center"/>
          </w:tcPr>
          <w:p>
            <w:r/>
            <w:r>
              <w:rPr>
                <w:b w:val="0"/>
                <w:sz w:val="16"/>
              </w:rPr>
              <w:t>L = 8, periodic adjacency/Laplacian</w:t>
            </w:r>
          </w:p>
        </w:tc>
        <w:tc>
          <w:tcPr>
            <w:tcW w:type="dxa" w:w="2232"/>
            <w:vAlign w:val="center"/>
          </w:tcPr>
          <w:p>
            <w:r/>
            <w:r>
              <w:rPr>
                <w:b w:val="0"/>
                <w:sz w:val="16"/>
              </w:rPr>
              <w:t>Eigenvalues, multiplicities, λ = 4 basis, mirror pairs</w:t>
            </w:r>
          </w:p>
        </w:tc>
        <w:tc>
          <w:tcPr>
            <w:tcW w:type="dxa" w:w="4176"/>
            <w:vAlign w:val="center"/>
          </w:tcPr>
          <w:p>
            <w:r/>
            <w:r>
              <w:rPr>
                <w:b w:val="0"/>
                <w:sz w:val="16"/>
              </w:rPr>
              <w:t>Reproduce all claimed spectral facts independently. Must be invariant under basis choices and numerical tolerances.</w:t>
            </w:r>
          </w:p>
        </w:tc>
      </w:tr>
      <w:tr>
        <w:tc>
          <w:tcPr>
            <w:tcW w:type="dxa" w:w="1800"/>
            <w:vAlign w:val="center"/>
          </w:tcPr>
          <w:p>
            <w:r/>
            <w:r>
              <w:rPr>
                <w:b w:val="0"/>
                <w:sz w:val="16"/>
              </w:rPr>
              <w:t>B. Residual projector</w:t>
            </w:r>
          </w:p>
        </w:tc>
        <w:tc>
          <w:tcPr>
            <w:tcW w:type="dxa" w:w="2304"/>
            <w:vAlign w:val="center"/>
          </w:tcPr>
          <w:p>
            <w:r/>
            <w:r>
              <w:rPr>
                <w:b w:val="0"/>
                <w:sz w:val="16"/>
              </w:rPr>
              <w:t>Full state ρ, eigenbasis of Δ</w:t>
            </w:r>
          </w:p>
        </w:tc>
        <w:tc>
          <w:tcPr>
            <w:tcW w:type="dxa" w:w="2232"/>
            <w:vAlign w:val="center"/>
          </w:tcPr>
          <w:p>
            <w:r/>
            <w:r>
              <w:rPr>
                <w:b w:val="0"/>
                <w:sz w:val="16"/>
              </w:rPr>
              <w:t>ρ_R = P_RρP_R</w:t>
            </w:r>
          </w:p>
        </w:tc>
        <w:tc>
          <w:tcPr>
            <w:tcW w:type="dxa" w:w="4176"/>
            <w:vAlign w:val="center"/>
          </w:tcPr>
          <w:p>
            <w:r/>
            <w:r>
              <w:rPr>
                <w:b w:val="0"/>
                <w:sz w:val="16"/>
              </w:rPr>
              <w:t>Defines the particle/vacuum active sector without named-particle assumptions.</w:t>
            </w:r>
          </w:p>
        </w:tc>
      </w:tr>
      <w:tr>
        <w:tc>
          <w:tcPr>
            <w:tcW w:type="dxa" w:w="1800"/>
            <w:vAlign w:val="center"/>
          </w:tcPr>
          <w:p>
            <w:r/>
            <w:r>
              <w:rPr>
                <w:b w:val="0"/>
                <w:sz w:val="16"/>
              </w:rPr>
              <w:t>C. Internal-state extension</w:t>
            </w:r>
          </w:p>
        </w:tc>
        <w:tc>
          <w:tcPr>
            <w:tcW w:type="dxa" w:w="2304"/>
            <w:vAlign w:val="center"/>
          </w:tcPr>
          <w:p>
            <w:r/>
            <w:r>
              <w:rPr>
                <w:b w:val="0"/>
                <w:sz w:val="16"/>
              </w:rPr>
              <w:t>Site Hilbert space and symmetry representation</w:t>
            </w:r>
          </w:p>
        </w:tc>
        <w:tc>
          <w:tcPr>
            <w:tcW w:type="dxa" w:w="2232"/>
            <w:vAlign w:val="center"/>
          </w:tcPr>
          <w:p>
            <w:r/>
            <w:r>
              <w:rPr>
                <w:b w:val="0"/>
                <w:sz w:val="16"/>
              </w:rPr>
              <w:t>Spin, statistics, gauge transformation data</w:t>
            </w:r>
          </w:p>
        </w:tc>
        <w:tc>
          <w:tcPr>
            <w:tcW w:type="dxa" w:w="4176"/>
            <w:vAlign w:val="center"/>
          </w:tcPr>
          <w:p>
            <w:r/>
            <w:r>
              <w:rPr>
                <w:b w:val="0"/>
                <w:sz w:val="16"/>
              </w:rPr>
              <w:t>Required to determine whether R can support chiral fermions, vectors, scalar, and SM charges.</w:t>
            </w:r>
          </w:p>
        </w:tc>
      </w:tr>
      <w:tr>
        <w:tc>
          <w:tcPr>
            <w:tcW w:type="dxa" w:w="1800"/>
            <w:vAlign w:val="center"/>
          </w:tcPr>
          <w:p>
            <w:r/>
            <w:r>
              <w:rPr>
                <w:b w:val="0"/>
                <w:sz w:val="16"/>
              </w:rPr>
              <w:t>D. Cancellation functional</w:t>
            </w:r>
          </w:p>
        </w:tc>
        <w:tc>
          <w:tcPr>
            <w:tcW w:type="dxa" w:w="2304"/>
            <w:vAlign w:val="center"/>
          </w:tcPr>
          <w:p>
            <w:r/>
            <w:r>
              <w:rPr>
                <w:b w:val="0"/>
                <w:sz w:val="16"/>
              </w:rPr>
              <w:t>Paired eigenmodes and Hamiltonian/action</w:t>
            </w:r>
          </w:p>
        </w:tc>
        <w:tc>
          <w:tcPr>
            <w:tcW w:type="dxa" w:w="2232"/>
            <w:vAlign w:val="center"/>
          </w:tcPr>
          <w:p>
            <w:r/>
            <w:r>
              <w:rPr>
                <w:b w:val="0"/>
                <w:sz w:val="16"/>
              </w:rPr>
              <w:t>Defined cancellation identity</w:t>
            </w:r>
          </w:p>
        </w:tc>
        <w:tc>
          <w:tcPr>
            <w:tcW w:type="dxa" w:w="4176"/>
            <w:vAlign w:val="center"/>
          </w:tcPr>
          <w:p>
            <w:r/>
            <w:r>
              <w:rPr>
                <w:b w:val="0"/>
                <w:sz w:val="16"/>
              </w:rPr>
              <w:t>Must specify what cancels: trace, energy, charge, partition function, or another observable.</w:t>
            </w:r>
          </w:p>
        </w:tc>
      </w:tr>
      <w:tr>
        <w:tc>
          <w:tcPr>
            <w:tcW w:type="dxa" w:w="1800"/>
            <w:vAlign w:val="center"/>
          </w:tcPr>
          <w:p>
            <w:r/>
            <w:r>
              <w:rPr>
                <w:b w:val="0"/>
                <w:sz w:val="16"/>
              </w:rPr>
              <w:t>E. Effective dynamics</w:t>
            </w:r>
          </w:p>
        </w:tc>
        <w:tc>
          <w:tcPr>
            <w:tcW w:type="dxa" w:w="2304"/>
            <w:vAlign w:val="center"/>
          </w:tcPr>
          <w:p>
            <w:r/>
            <w:r>
              <w:rPr>
                <w:b w:val="0"/>
                <w:sz w:val="16"/>
              </w:rPr>
              <w:t>H_R, coupling J, regulator/channel D_env</w:t>
            </w:r>
          </w:p>
        </w:tc>
        <w:tc>
          <w:tcPr>
            <w:tcW w:type="dxa" w:w="2232"/>
            <w:vAlign w:val="center"/>
          </w:tcPr>
          <w:p>
            <w:r/>
            <w:r>
              <w:rPr>
                <w:b w:val="0"/>
                <w:sz w:val="16"/>
              </w:rPr>
              <w:t>ρ_R(t), correlation functions, lifetimes</w:t>
            </w:r>
          </w:p>
        </w:tc>
        <w:tc>
          <w:tcPr>
            <w:tcW w:type="dxa" w:w="4176"/>
            <w:vAlign w:val="center"/>
          </w:tcPr>
          <w:p>
            <w:r/>
            <w:r>
              <w:rPr>
                <w:b w:val="0"/>
                <w:sz w:val="16"/>
              </w:rPr>
              <w:t>Turns the static lattice into a physical model.</w:t>
            </w:r>
          </w:p>
        </w:tc>
      </w:tr>
      <w:tr>
        <w:tc>
          <w:tcPr>
            <w:tcW w:type="dxa" w:w="1800"/>
            <w:vAlign w:val="center"/>
          </w:tcPr>
          <w:p>
            <w:r/>
            <w:r>
              <w:rPr>
                <w:b w:val="0"/>
                <w:sz w:val="16"/>
              </w:rPr>
              <w:t>F. Information extractor</w:t>
            </w:r>
          </w:p>
        </w:tc>
        <w:tc>
          <w:tcPr>
            <w:tcW w:type="dxa" w:w="2304"/>
            <w:vAlign w:val="center"/>
          </w:tcPr>
          <w:p>
            <w:r/>
            <w:r>
              <w:rPr>
                <w:b w:val="0"/>
                <w:sz w:val="16"/>
              </w:rPr>
              <w:t>ρ_R(t) and subsystem partitions</w:t>
            </w:r>
          </w:p>
        </w:tc>
        <w:tc>
          <w:tcPr>
            <w:tcW w:type="dxa" w:w="2232"/>
            <w:vAlign w:val="center"/>
          </w:tcPr>
          <w:p>
            <w:r/>
            <w:r>
              <w:rPr>
                <w:b w:val="0"/>
                <w:sz w:val="16"/>
              </w:rPr>
              <w:t>S, I(A:B), code proxies, persistence rates</w:t>
            </w:r>
          </w:p>
        </w:tc>
        <w:tc>
          <w:tcPr>
            <w:tcW w:type="dxa" w:w="4176"/>
            <w:vAlign w:val="center"/>
          </w:tcPr>
          <w:p>
            <w:r/>
            <w:r>
              <w:rPr>
                <w:b w:val="0"/>
                <w:sz w:val="16"/>
              </w:rPr>
              <w:t>Makes WIN variables measurable functions of FDLM states.</w:t>
            </w:r>
          </w:p>
        </w:tc>
      </w:tr>
      <w:tr>
        <w:tc>
          <w:tcPr>
            <w:tcW w:type="dxa" w:w="1800"/>
            <w:vAlign w:val="center"/>
          </w:tcPr>
          <w:p>
            <w:r/>
            <w:r>
              <w:rPr>
                <w:b w:val="0"/>
                <w:sz w:val="16"/>
              </w:rPr>
              <w:t>G. Emergent-depth map</w:t>
            </w:r>
          </w:p>
        </w:tc>
        <w:tc>
          <w:tcPr>
            <w:tcW w:type="dxa" w:w="2304"/>
            <w:vAlign w:val="center"/>
          </w:tcPr>
          <w:p>
            <w:r/>
            <w:r>
              <w:rPr>
                <w:b w:val="0"/>
                <w:sz w:val="16"/>
              </w:rPr>
              <w:t>Trajectory of information quantities</w:t>
            </w:r>
          </w:p>
        </w:tc>
        <w:tc>
          <w:tcPr>
            <w:tcW w:type="dxa" w:w="2232"/>
            <w:vAlign w:val="center"/>
          </w:tcPr>
          <w:p>
            <w:r/>
            <w:r>
              <w:rPr>
                <w:b w:val="0"/>
                <w:sz w:val="16"/>
              </w:rPr>
              <w:t>z_eff or RG/processing scale</w:t>
            </w:r>
          </w:p>
        </w:tc>
        <w:tc>
          <w:tcPr>
            <w:tcW w:type="dxa" w:w="4176"/>
            <w:vAlign w:val="center"/>
          </w:tcPr>
          <w:p>
            <w:r/>
            <w:r>
              <w:rPr>
                <w:b w:val="0"/>
                <w:sz w:val="16"/>
              </w:rPr>
              <w:t>Tests whether the older warp/depth language is an effective variable.</w:t>
            </w:r>
          </w:p>
        </w:tc>
      </w:tr>
      <w:tr>
        <w:tc>
          <w:tcPr>
            <w:tcW w:type="dxa" w:w="1800"/>
            <w:vAlign w:val="center"/>
          </w:tcPr>
          <w:p>
            <w:r/>
            <w:r>
              <w:rPr>
                <w:b w:val="0"/>
                <w:sz w:val="16"/>
              </w:rPr>
              <w:t>H. Vacuum-stability solver</w:t>
            </w:r>
          </w:p>
        </w:tc>
        <w:tc>
          <w:tcPr>
            <w:tcW w:type="dxa" w:w="2304"/>
            <w:vAlign w:val="center"/>
          </w:tcPr>
          <w:p>
            <w:r/>
            <w:r>
              <w:rPr>
                <w:b w:val="0"/>
                <w:sz w:val="16"/>
              </w:rPr>
              <w:t>Φ_vac and cosmological/continuum limit</w:t>
            </w:r>
          </w:p>
        </w:tc>
        <w:tc>
          <w:tcPr>
            <w:tcW w:type="dxa" w:w="2232"/>
            <w:vAlign w:val="center"/>
          </w:tcPr>
          <w:p>
            <w:r/>
            <w:r>
              <w:rPr>
                <w:b w:val="0"/>
                <w:sz w:val="16"/>
              </w:rPr>
              <w:t>Stationary states, pressure, response modes</w:t>
            </w:r>
          </w:p>
        </w:tc>
        <w:tc>
          <w:tcPr>
            <w:tcW w:type="dxa" w:w="4176"/>
            <w:vAlign w:val="center"/>
          </w:tcPr>
          <w:p>
            <w:r/>
            <w:r>
              <w:rPr>
                <w:b w:val="0"/>
                <w:sz w:val="16"/>
              </w:rPr>
              <w:t>Tests the negative-charge stabilization hypothesis.</w:t>
            </w:r>
          </w:p>
        </w:tc>
      </w:tr>
      <w:tr>
        <w:tc>
          <w:tcPr>
            <w:tcW w:type="dxa" w:w="1800"/>
            <w:vAlign w:val="center"/>
          </w:tcPr>
          <w:p>
            <w:r/>
            <w:r>
              <w:rPr>
                <w:b w:val="0"/>
                <w:sz w:val="16"/>
              </w:rPr>
              <w:t>I. Out-of-sample prediction protocol</w:t>
            </w:r>
          </w:p>
        </w:tc>
        <w:tc>
          <w:tcPr>
            <w:tcW w:type="dxa" w:w="2304"/>
            <w:vAlign w:val="center"/>
          </w:tcPr>
          <w:p>
            <w:r/>
            <w:r>
              <w:rPr>
                <w:b w:val="0"/>
                <w:sz w:val="16"/>
              </w:rPr>
              <w:t>Locked theory before data comparison</w:t>
            </w:r>
          </w:p>
        </w:tc>
        <w:tc>
          <w:tcPr>
            <w:tcW w:type="dxa" w:w="2232"/>
            <w:vAlign w:val="center"/>
          </w:tcPr>
          <w:p>
            <w:r/>
            <w:r>
              <w:rPr>
                <w:b w:val="0"/>
                <w:sz w:val="16"/>
              </w:rPr>
              <w:t>Predictions for unused observables</w:t>
            </w:r>
          </w:p>
        </w:tc>
        <w:tc>
          <w:tcPr>
            <w:tcW w:type="dxa" w:w="4176"/>
            <w:vAlign w:val="center"/>
          </w:tcPr>
          <w:p>
            <w:r/>
            <w:r>
              <w:rPr>
                <w:b w:val="0"/>
                <w:sz w:val="16"/>
              </w:rPr>
              <w:t>Separates derivation from post-selection and calibration.</w:t>
            </w:r>
          </w:p>
        </w:tc>
      </w:tr>
    </w:tbl>
    <w:p/>
    <w:p>
      <w:pPr>
        <w:pStyle w:val="Heading1"/>
      </w:pPr>
      <w:r>
        <w:t>Pseudocode blueprint</w:t>
      </w:r>
    </w:p>
    <w:p>
      <w:r>
        <w:t>The following is a research blueprint, not an implemented or validated proof of the correspondence:</w:t>
      </w:r>
    </w:p>
    <w:p>
      <w:r>
        <w:rPr>
          <w:rFonts w:ascii="Consolas" w:hAnsi="Consolas"/>
          <w:sz w:val="18"/>
        </w:rPr>
        <w:t>1. Construct the periodic 8×8 adjacency matrix A and Laplacian Δ.</w:t>
        <w:br/>
        <w:t>2. Diagonalize Δ; identify the λ = 4 eigenspace R and construct projector P_R.</w:t>
        <w:br/>
        <w:t>3. Define a local Hilbert space H_x at each lattice site and a symmetry action.</w:t>
        <w:br/>
        <w:t>4. Specify H = H_lattice + H_internal + H_interaction.</w:t>
        <w:br/>
        <w:t>5. Evolve rho(t) under a unitary or open-system channel.</w:t>
        <w:br/>
        <w:t>6. Project: rho_R(t) = P_R rho(t) P_R.</w:t>
        <w:br/>
        <w:t>7. Partition R into physically defined subsystems; compute entropy and mutual information.</w:t>
        <w:br/>
        <w:t>8. Define candidate WIN variables from these quantities only.</w:t>
        <w:br/>
        <w:t>9. Construct a vacuum functional Phi_vac[rho_R].</w:t>
        <w:br/>
        <w:t>10. Solve for stationary states and linear stability.</w:t>
        <w:br/>
        <w:t>11. Test whether Q_residual = −1 changes the stationary solution or effective pressure.</w:t>
        <w:br/>
        <w:t>12. Generate predictions using locked rules and compare only with data not used in construction.</w:t>
      </w:r>
    </w:p>
    <w:p>
      <w:pPr>
        <w:pStyle w:val="Heading1"/>
      </w:pPr>
      <w:r>
        <w:t>What is derived today</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D9EAF7"/>
          </w:tcPr>
          <w:p>
            <w:r/>
            <w:r>
              <w:rPr>
                <w:b/>
                <w:sz w:val="17"/>
              </w:rPr>
              <w:t>Claim</w:t>
            </w:r>
          </w:p>
        </w:tc>
        <w:tc>
          <w:tcPr>
            <w:tcW w:type="dxa" w:w="2520"/>
            <w:vAlign w:val="center"/>
            <w:shd w:fill="D9EAF7"/>
          </w:tcPr>
          <w:p>
            <w:r/>
            <w:r>
              <w:rPr>
                <w:b/>
                <w:sz w:val="17"/>
              </w:rPr>
              <w:t>Current classification</w:t>
            </w:r>
          </w:p>
        </w:tc>
        <w:tc>
          <w:tcPr>
            <w:tcW w:type="dxa" w:w="5760"/>
            <w:vAlign w:val="center"/>
            <w:shd w:fill="D9EAF7"/>
          </w:tcPr>
          <w:p>
            <w:r/>
            <w:r>
              <w:rPr>
                <w:b/>
                <w:sz w:val="17"/>
              </w:rPr>
              <w:t>Reviewer-safe statement</w:t>
            </w:r>
          </w:p>
        </w:tc>
      </w:tr>
      <w:tr>
        <w:tc>
          <w:tcPr>
            <w:tcW w:type="dxa" w:w="2232"/>
            <w:vAlign w:val="center"/>
          </w:tcPr>
          <w:p>
            <w:r/>
            <w:r>
              <w:rPr>
                <w:b w:val="0"/>
                <w:sz w:val="16"/>
              </w:rPr>
              <w:t>Specified lattice spectrum</w:t>
            </w:r>
          </w:p>
        </w:tc>
        <w:tc>
          <w:tcPr>
            <w:tcW w:type="dxa" w:w="2520"/>
            <w:vAlign w:val="center"/>
          </w:tcPr>
          <w:p>
            <w:r/>
            <w:r>
              <w:rPr>
                <w:b w:val="0"/>
                <w:sz w:val="16"/>
              </w:rPr>
              <w:t>Derived mathematical result</w:t>
            </w:r>
          </w:p>
        </w:tc>
        <w:tc>
          <w:tcPr>
            <w:tcW w:type="dxa" w:w="5760"/>
            <w:vAlign w:val="center"/>
          </w:tcPr>
          <w:p>
            <w:r/>
            <w:r>
              <w:rPr>
                <w:b w:val="0"/>
                <w:sz w:val="16"/>
              </w:rPr>
              <w:t>The periodic 8×8 square-lattice Laplacian has the stated spectrum and a 14-fold λ = 4 midpoint degeneracy.</w:t>
            </w:r>
          </w:p>
        </w:tc>
      </w:tr>
      <w:tr>
        <w:tc>
          <w:tcPr>
            <w:tcW w:type="dxa" w:w="2232"/>
            <w:vAlign w:val="center"/>
          </w:tcPr>
          <w:p>
            <w:r/>
            <w:r>
              <w:rPr>
                <w:b w:val="0"/>
                <w:sz w:val="16"/>
              </w:rPr>
              <w:t>Mirror symmetry</w:t>
            </w:r>
          </w:p>
        </w:tc>
        <w:tc>
          <w:tcPr>
            <w:tcW w:type="dxa" w:w="2520"/>
            <w:vAlign w:val="center"/>
          </w:tcPr>
          <w:p>
            <w:r/>
            <w:r>
              <w:rPr>
                <w:b w:val="0"/>
                <w:sz w:val="16"/>
              </w:rPr>
              <w:t>Derived mathematical result</w:t>
            </w:r>
          </w:p>
        </w:tc>
        <w:tc>
          <w:tcPr>
            <w:tcW w:type="dxa" w:w="5760"/>
            <w:vAlign w:val="center"/>
          </w:tcPr>
          <w:p>
            <w:r/>
            <w:r>
              <w:rPr>
                <w:b w:val="0"/>
                <w:sz w:val="16"/>
              </w:rPr>
              <w:t>The stated eigenvalue formula is symmetric around λ = 4.</w:t>
            </w:r>
          </w:p>
        </w:tc>
      </w:tr>
      <w:tr>
        <w:tc>
          <w:tcPr>
            <w:tcW w:type="dxa" w:w="2232"/>
            <w:vAlign w:val="center"/>
          </w:tcPr>
          <w:p>
            <w:r/>
            <w:r>
              <w:rPr>
                <w:b w:val="0"/>
                <w:sz w:val="16"/>
              </w:rPr>
              <w:t>N = 64 arithmetic</w:t>
            </w:r>
          </w:p>
        </w:tc>
        <w:tc>
          <w:tcPr>
            <w:tcW w:type="dxa" w:w="2520"/>
            <w:vAlign w:val="center"/>
          </w:tcPr>
          <w:p>
            <w:r/>
            <w:r>
              <w:rPr>
                <w:b w:val="0"/>
                <w:sz w:val="16"/>
              </w:rPr>
              <w:t>Derived from definitions</w:t>
            </w:r>
          </w:p>
        </w:tc>
        <w:tc>
          <w:tcPr>
            <w:tcW w:type="dxa" w:w="5760"/>
            <w:vAlign w:val="center"/>
          </w:tcPr>
          <w:p>
            <w:r/>
            <w:r>
              <w:rPr>
                <w:b w:val="0"/>
                <w:sz w:val="16"/>
              </w:rPr>
              <w:t>At d = 4, the chosen formulas give H = 16, V = 48, N = 64.</w:t>
            </w:r>
          </w:p>
        </w:tc>
      </w:tr>
      <w:tr>
        <w:tc>
          <w:tcPr>
            <w:tcW w:type="dxa" w:w="2232"/>
            <w:vAlign w:val="center"/>
          </w:tcPr>
          <w:p>
            <w:r/>
            <w:r>
              <w:rPr>
                <w:b w:val="0"/>
                <w:sz w:val="16"/>
              </w:rPr>
              <w:t>SO(10) 16-spinor fact</w:t>
            </w:r>
          </w:p>
        </w:tc>
        <w:tc>
          <w:tcPr>
            <w:tcW w:type="dxa" w:w="2520"/>
            <w:vAlign w:val="center"/>
          </w:tcPr>
          <w:p>
            <w:r/>
            <w:r>
              <w:rPr>
                <w:b w:val="0"/>
                <w:sz w:val="16"/>
              </w:rPr>
              <w:t>Established representation theory plus model selection</w:t>
            </w:r>
          </w:p>
        </w:tc>
        <w:tc>
          <w:tcPr>
            <w:tcW w:type="dxa" w:w="5760"/>
            <w:vAlign w:val="center"/>
          </w:tcPr>
          <w:p>
            <w:r/>
            <w:r>
              <w:rPr>
                <w:b w:val="0"/>
                <w:sz w:val="16"/>
              </w:rPr>
              <w:t>SO(10) has a 16-dimensional spinor that packages one family including a right-handed neutrino; FDLM proposes a selection rationale.</w:t>
            </w:r>
          </w:p>
        </w:tc>
      </w:tr>
      <w:tr>
        <w:tc>
          <w:tcPr>
            <w:tcW w:type="dxa" w:w="2232"/>
            <w:vAlign w:val="center"/>
          </w:tcPr>
          <w:p>
            <w:r/>
            <w:r>
              <w:rPr>
                <w:b w:val="0"/>
                <w:sz w:val="16"/>
              </w:rPr>
              <w:t>14 named Standard Model particles</w:t>
            </w:r>
          </w:p>
        </w:tc>
        <w:tc>
          <w:tcPr>
            <w:tcW w:type="dxa" w:w="2520"/>
            <w:vAlign w:val="center"/>
          </w:tcPr>
          <w:p>
            <w:r/>
            <w:r>
              <w:rPr>
                <w:b w:val="0"/>
                <w:sz w:val="16"/>
              </w:rPr>
              <w:t>Physical identification hypothesis</w:t>
            </w:r>
          </w:p>
        </w:tc>
        <w:tc>
          <w:tcPr>
            <w:tcW w:type="dxa" w:w="5760"/>
            <w:vAlign w:val="center"/>
          </w:tcPr>
          <w:p>
            <w:r/>
            <w:r>
              <w:rPr>
                <w:b w:val="0"/>
                <w:sz w:val="16"/>
              </w:rPr>
              <w:t>The model assigns the 14 midpoint modes to a selected particle list; a complete spin/gauge/dynamics derivation remains needed.</w:t>
            </w:r>
          </w:p>
        </w:tc>
      </w:tr>
      <w:tr>
        <w:tc>
          <w:tcPr>
            <w:tcW w:type="dxa" w:w="2232"/>
            <w:vAlign w:val="center"/>
          </w:tcPr>
          <w:p>
            <w:r/>
            <w:r>
              <w:rPr>
                <w:b w:val="0"/>
                <w:sz w:val="16"/>
              </w:rPr>
              <w:t>Support / entropy pattern</w:t>
            </w:r>
          </w:p>
        </w:tc>
        <w:tc>
          <w:tcPr>
            <w:tcW w:type="dxa" w:w="2520"/>
            <w:vAlign w:val="center"/>
          </w:tcPr>
          <w:p>
            <w:r/>
            <w:r>
              <w:rPr>
                <w:b w:val="0"/>
                <w:sz w:val="16"/>
              </w:rPr>
              <w:t>Computational result conditional on conventions</w:t>
            </w:r>
          </w:p>
        </w:tc>
        <w:tc>
          <w:tcPr>
            <w:tcW w:type="dxa" w:w="5760"/>
            <w:vAlign w:val="center"/>
          </w:tcPr>
          <w:p>
            <w:r/>
            <w:r>
              <w:rPr>
                <w:b w:val="0"/>
                <w:sz w:val="16"/>
              </w:rPr>
              <w:t>The stated basis and support threshold produce the reported classes; basis-independence must be addressed.</w:t>
            </w:r>
          </w:p>
        </w:tc>
      </w:tr>
      <w:tr>
        <w:tc>
          <w:tcPr>
            <w:tcW w:type="dxa" w:w="2232"/>
            <w:vAlign w:val="center"/>
          </w:tcPr>
          <w:p>
            <w:r/>
            <w:r>
              <w:rPr>
                <w:b w:val="0"/>
                <w:sz w:val="16"/>
              </w:rPr>
              <w:t>Charge sum −1</w:t>
            </w:r>
          </w:p>
        </w:tc>
        <w:tc>
          <w:tcPr>
            <w:tcW w:type="dxa" w:w="2520"/>
            <w:vAlign w:val="center"/>
          </w:tcPr>
          <w:p>
            <w:r/>
            <w:r>
              <w:rPr>
                <w:b w:val="0"/>
                <w:sz w:val="16"/>
              </w:rPr>
              <w:t>Exact arithmetic after model assignment</w:t>
            </w:r>
          </w:p>
        </w:tc>
        <w:tc>
          <w:tcPr>
            <w:tcW w:type="dxa" w:w="5760"/>
            <w:vAlign w:val="center"/>
          </w:tcPr>
          <w:p>
            <w:r/>
            <w:r>
              <w:rPr>
                <w:b w:val="0"/>
                <w:sz w:val="16"/>
              </w:rPr>
              <w:t>The assigned outer/middle mesh charges sum to −1.</w:t>
            </w:r>
          </w:p>
        </w:tc>
      </w:tr>
      <w:tr>
        <w:tc>
          <w:tcPr>
            <w:tcW w:type="dxa" w:w="2232"/>
            <w:vAlign w:val="center"/>
          </w:tcPr>
          <w:p>
            <w:r/>
            <w:r>
              <w:rPr>
                <w:b w:val="0"/>
                <w:sz w:val="16"/>
              </w:rPr>
              <w:t>Mass formula performance</w:t>
            </w:r>
          </w:p>
        </w:tc>
        <w:tc>
          <w:tcPr>
            <w:tcW w:type="dxa" w:w="2520"/>
            <w:vAlign w:val="center"/>
          </w:tcPr>
          <w:p>
            <w:r/>
            <w:r>
              <w:rPr>
                <w:b w:val="0"/>
                <w:sz w:val="16"/>
              </w:rPr>
              <w:t>Phenomenological/model-selection result</w:t>
            </w:r>
          </w:p>
        </w:tc>
        <w:tc>
          <w:tcPr>
            <w:tcW w:type="dxa" w:w="5760"/>
            <w:vAlign w:val="center"/>
          </w:tcPr>
          <w:p>
            <w:r/>
            <w:r>
              <w:rPr>
                <w:b w:val="0"/>
                <w:sz w:val="16"/>
              </w:rPr>
              <w:t>The supplied formula achieves the reported comparison under its stated construction; its first-principles origin and selection accounting remain open.</w:t>
            </w:r>
          </w:p>
        </w:tc>
      </w:tr>
      <w:tr>
        <w:tc>
          <w:tcPr>
            <w:tcW w:type="dxa" w:w="2232"/>
            <w:vAlign w:val="center"/>
          </w:tcPr>
          <w:p>
            <w:r/>
            <w:r>
              <w:rPr>
                <w:b w:val="0"/>
                <w:sz w:val="16"/>
              </w:rPr>
              <w:t>WIN information dictionary</w:t>
            </w:r>
          </w:p>
        </w:tc>
        <w:tc>
          <w:tcPr>
            <w:tcW w:type="dxa" w:w="2520"/>
            <w:vAlign w:val="center"/>
          </w:tcPr>
          <w:p>
            <w:r/>
            <w:r>
              <w:rPr>
                <w:b w:val="0"/>
                <w:sz w:val="16"/>
              </w:rPr>
              <w:t>Proposed ontology / correspondence set</w:t>
            </w:r>
          </w:p>
        </w:tc>
        <w:tc>
          <w:tcPr>
            <w:tcW w:type="dxa" w:w="5760"/>
            <w:vAlign w:val="center"/>
          </w:tcPr>
          <w:p>
            <w:r/>
            <w:r>
              <w:rPr>
                <w:b w:val="0"/>
                <w:sz w:val="16"/>
              </w:rPr>
              <w:t>WIN proposes information-theoretic representations of physical observables.</w:t>
            </w:r>
          </w:p>
        </w:tc>
      </w:tr>
      <w:tr>
        <w:tc>
          <w:tcPr>
            <w:tcW w:type="dxa" w:w="2232"/>
            <w:vAlign w:val="center"/>
          </w:tcPr>
          <w:p>
            <w:r/>
            <w:r>
              <w:rPr>
                <w:b w:val="0"/>
                <w:sz w:val="16"/>
              </w:rPr>
              <w:t>FDLM ⇒ WIN</w:t>
            </w:r>
          </w:p>
        </w:tc>
        <w:tc>
          <w:tcPr>
            <w:tcW w:type="dxa" w:w="2520"/>
            <w:vAlign w:val="center"/>
          </w:tcPr>
          <w:p>
            <w:r/>
            <w:r>
              <w:rPr>
                <w:b w:val="0"/>
                <w:sz w:val="16"/>
              </w:rPr>
              <w:t>Open hypothesis</w:t>
            </w:r>
          </w:p>
        </w:tc>
        <w:tc>
          <w:tcPr>
            <w:tcW w:type="dxa" w:w="5760"/>
            <w:vAlign w:val="center"/>
          </w:tcPr>
          <w:p>
            <w:r/>
            <w:r>
              <w:rPr>
                <w:b w:val="0"/>
                <w:sz w:val="16"/>
              </w:rPr>
              <w:t>No formal derivation currently maps FDLM dynamics to the WIN master functional or geometry.</w:t>
            </w:r>
          </w:p>
        </w:tc>
      </w:tr>
      <w:tr>
        <w:tc>
          <w:tcPr>
            <w:tcW w:type="dxa" w:w="2232"/>
            <w:vAlign w:val="center"/>
          </w:tcPr>
          <w:p>
            <w:r/>
            <w:r>
              <w:rPr>
                <w:b w:val="0"/>
                <w:sz w:val="16"/>
              </w:rPr>
              <w:t>Charge-pressure stabilization</w:t>
            </w:r>
          </w:p>
        </w:tc>
        <w:tc>
          <w:tcPr>
            <w:tcW w:type="dxa" w:w="2520"/>
            <w:vAlign w:val="center"/>
          </w:tcPr>
          <w:p>
            <w:r/>
            <w:r>
              <w:rPr>
                <w:b w:val="0"/>
                <w:sz w:val="16"/>
              </w:rPr>
              <w:t>Open hypothesis</w:t>
            </w:r>
          </w:p>
        </w:tc>
        <w:tc>
          <w:tcPr>
            <w:tcW w:type="dxa" w:w="5760"/>
            <w:vAlign w:val="center"/>
          </w:tcPr>
          <w:p>
            <w:r/>
            <w:r>
              <w:rPr>
                <w:b w:val="0"/>
                <w:sz w:val="16"/>
              </w:rPr>
              <w:t>A vacuum functional and dynamical derivation are required.</w:t>
            </w:r>
          </w:p>
        </w:tc>
      </w:tr>
    </w:tbl>
    <w:p/>
    <w:p>
      <w:pPr>
        <w:pStyle w:val="Heading1"/>
      </w:pPr>
      <w:r>
        <w:t>What must remain hypothetical</w:t>
      </w:r>
    </w:p>
    <w:p>
      <w:pPr>
        <w:pStyle w:val="ListBullet"/>
      </w:pPr>
      <w:r>
        <w:t>That the photon’s two-helicity phase-space count uniquely derives the physical dimension of spacetime, rather than supplying a motivated four-variable construction.</w:t>
      </w:r>
    </w:p>
    <w:p>
      <w:pPr>
        <w:pStyle w:val="ListBullet"/>
      </w:pPr>
      <w:r>
        <w:t>That the 14 midpoint modes uniquely and necessarily realize all Standard Model fields, including correct Lorentz spin, quantum statistics, chirality, gauge representations, and interaction vertices.</w:t>
      </w:r>
    </w:p>
    <w:p>
      <w:pPr>
        <w:pStyle w:val="ListBullet"/>
      </w:pPr>
      <w:r>
        <w:t>That spectral mirror pairing produces physical vacuum-energy cancellation without an explicitly defined Hamiltonian or partition function.</w:t>
      </w:r>
    </w:p>
    <w:p>
      <w:pPr>
        <w:pStyle w:val="ListBullet"/>
      </w:pPr>
      <w:r>
        <w:t>That the mesh charge assignment is physically identical to Standard Model electric charge rather than a bookkeeping quantity.</w:t>
      </w:r>
    </w:p>
    <w:p>
      <w:pPr>
        <w:pStyle w:val="ListBullet"/>
      </w:pPr>
      <w:r>
        <w:t>That the residual charge −1 produces a stabilizing negative pressure contribution.</w:t>
      </w:r>
    </w:p>
    <w:p>
      <w:pPr>
        <w:pStyle w:val="ListBullet"/>
      </w:pPr>
      <w:r>
        <w:t>That kL, the Wick-clock rate, the δ rule, and the mass-map functional form all follow uniquely from the FDLM action.</w:t>
      </w:r>
    </w:p>
    <w:p>
      <w:pPr>
        <w:pStyle w:val="ListBullet"/>
      </w:pPr>
      <w:r>
        <w:t>That WIN’s code distance, mutual information, persistence depth, and holographic geometry arise as coarse-grained FDLM observables.</w:t>
      </w:r>
    </w:p>
    <w:p>
      <w:pPr>
        <w:pStyle w:val="ListBullet"/>
      </w:pPr>
      <w:r>
        <w:t>That older literal 5D/8D constructs are fundamental dimensions rather than effective descriptions; this currently conflicts with the FDLM 4D-first declaration unless an equivalence theorem is supplied.</w:t>
      </w:r>
    </w:p>
    <w:p>
      <w:pPr>
        <w:pStyle w:val="ListBullet"/>
      </w:pPr>
      <w:r>
        <w:t>That the mathematical-problem manuscripts constitute solutions to BSD, Riemann, Hodge, Navier–Stokes, or Yang–Mills without conventional rigorous proofs meeting their external problem statements.</w:t>
      </w:r>
    </w:p>
    <w:p>
      <w:pPr>
        <w:pStyle w:val="Heading1"/>
      </w:pPr>
      <w:r>
        <w:t>Falsifiable research program</w:t>
      </w:r>
    </w:p>
    <w:p>
      <w:pPr>
        <w:pStyle w:val="ListNumber"/>
      </w:pPr>
      <w:r>
        <w:t>Lock the FDLM definitions: graph, boundary conditions, eigenvector convention, support rule, charge rule, δ rule, particle map, and all allowed formula grammar.</w:t>
      </w:r>
    </w:p>
    <w:p>
      <w:pPr>
        <w:pStyle w:val="ListNumber"/>
      </w:pPr>
      <w:r>
        <w:t>Construct a site-level quantum model with a declared Hilbert space, commutation/anticommutation relations, and an SO(10) or Standard Model symmetry action.</w:t>
      </w:r>
    </w:p>
    <w:p>
      <w:pPr>
        <w:pStyle w:val="ListNumber"/>
      </w:pPr>
      <w:r>
        <w:t>Derive a Hamiltonian or transfer matrix. Demonstrate what physical observable is paired and cancelled under the spectral involution.</w:t>
      </w:r>
    </w:p>
    <w:p>
      <w:pPr>
        <w:pStyle w:val="ListNumber"/>
      </w:pPr>
      <w:r>
        <w:t>Define mutual information, entropy, code distance, and persistence as standard computable functionals of FDLM states.</w:t>
      </w:r>
    </w:p>
    <w:p>
      <w:pPr>
        <w:pStyle w:val="ListNumber"/>
      </w:pPr>
      <w:r>
        <w:t>Derive or reject an emergent-depth map. If it works, rewrite WIN’s fifth-dimensional language as a scale/processing coordinate; if it fails, retain WIN as a separate speculative framework.</w:t>
      </w:r>
    </w:p>
    <w:p>
      <w:pPr>
        <w:pStyle w:val="ListNumber"/>
      </w:pPr>
      <w:r>
        <w:t>Derive a vacuum functional and show mathematically whether Q_residual = −1 stabilizes an equilibrium. Connect it to a continuum stress-energy or cosmological equation.</w:t>
      </w:r>
    </w:p>
    <w:p>
      <w:pPr>
        <w:pStyle w:val="ListNumber"/>
      </w:pPr>
      <w:r>
        <w:t>Use a preregistered, held-out prediction set for observables not used in model construction—e.g., flavor relations, decay patterns, coupling-running relations, dark-sector signals, or lattice-specific scattering predictions.</w:t>
      </w:r>
    </w:p>
    <w:p>
      <w:pPr>
        <w:pStyle w:val="ListNumber"/>
      </w:pPr>
      <w:r>
        <w:t>Publish the exact code, inputs, candidate search grammar, and negative results so the program can be independently audited.</w:t>
      </w:r>
    </w:p>
    <w:p>
      <w:pPr>
        <w:pStyle w:val="Heading1"/>
      </w:pPr>
      <w:r>
        <w:t>Conclusion</w:t>
      </w:r>
    </w:p>
    <w:p>
      <w:r>
        <w:t>The corpus is not best understood as many separate theories. It is a research program that has moved from broad information-first, entropy-regulated, and holographic proposals toward a sharply defined finite lattice construction. The FDLM provides the current mathematical center: d = 4, N = 64, the 8×8 torus, spectral mirror structure, and the 14-dimensional midpoint residual. WIN provides a proposed language for the dynamics and observation of such a residual: information overlap, persistence, code distance, calibration, and emergent geometry.</w:t>
      </w:r>
    </w:p>
    <w:p>
      <w:r>
        <w:t>The strongest single unifying hypothesis is therefore:</w:t>
      </w:r>
    </w:p>
    <w:p>
      <w:pPr>
        <w:jc w:val="center"/>
      </w:pPr>
      <w:r>
        <w:rPr>
          <w:rFonts w:ascii="Cambria Math" w:hAnsi="Cambria Math"/>
          <w:sz w:val="24"/>
        </w:rPr>
        <w:t>A stabilized FDLM midpoint residual is the microscopic source of the physical particle sector; WIN is its effective information-theoretic and holographic description.</w:t>
      </w:r>
    </w:p>
    <w:p>
      <w:r>
        <w:t>The highest-priority missing result is not another particle table. It is a mathematically specified dynamical bridge—Hamiltonian or transfer rule, residual projector, information functional, and stability equation—that shows whether the FDLM charge residual enters a real vacuum pressure and whether WIN observables emerge from that same finite system. Until that bridge exists, FDLM and WIN should be presented as connected but distinct layers: one structural and microscopic, the other interpretive and dynamical.</w:t>
      </w:r>
    </w:p>
    <w:p>
      <w:pPr>
        <w:pStyle w:val="Heading1"/>
      </w:pPr>
      <w:r>
        <w:t>Source corpus consulted</w:t>
      </w:r>
    </w:p>
    <w:p>
      <w:r>
        <w:t>This synthesis was prepared from the project file inventory and cross-file excerpts, including the FDLM synthesis, WIN papers, WIN derivation and particle-spectrum papers, WIN calibration-based processor paper, Unified Substrate, SYK-tensor and emergent-metric material, DME/ENTROPIX/MESA/EDF/ENTROPIA-related papers, scaling and UV papers, dark-photon and black-hole papers, and the project’s mathematical-application manuscripts. Statements above are framed to distinguish reported manuscript claims from independently established derivations.</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FDLM–WIN Master White Paper • Research synthesis • September 16,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