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320"/>
              <w:left w:type="dxa" w:w="320"/>
              <w:bottom w:type="dxa" w:w="320"/>
              <w:right w:type="dxa" w:w="320"/>
            </w:tcMar>
          </w:tcPr>
          <w:p>
            <w:pPr>
              <w:spacing w:after="80"/>
            </w:pPr>
            <w:r>
              <w:rPr>
                <w:rFonts w:ascii="Arial" w:cs="Arial" w:eastAsia="Arial" w:hAnsi="Arial"/>
                <w:b/>
                <w:bCs/>
                <w:color w:val="FFFFFF"/>
                <w:sz w:val="32"/>
                <w:szCs w:val="32"/>
              </w:rPr>
              <w:t xml:space="preserve">TRUE CLASSIC</w:t>
            </w:r>
          </w:p>
          <w:p>
            <w:pPr>
              <w:spacing w:after="60"/>
            </w:pPr>
            <w:r>
              <w:rPr>
                <w:rFonts w:ascii="Arial" w:cs="Arial" w:eastAsia="Arial" w:hAnsi="Arial"/>
                <w:b/>
                <w:bCs/>
                <w:color w:val="FFFFFF"/>
                <w:sz w:val="28"/>
                <w:szCs w:val="28"/>
              </w:rPr>
              <w:t xml:space="preserve">AI Solutions Architect — Candidate Exercise</w:t>
            </w:r>
          </w:p>
          <w:p>
            <w:pPr>
              <w:spacing w:after="60"/>
            </w:pPr>
            <w:r>
              <w:rPr>
                <w:rFonts w:ascii="Arial" w:cs="Arial" w:eastAsia="Arial" w:hAnsi="Arial"/>
                <w:color w:val="FFFFFF"/>
                <w:sz w:val="24"/>
                <w:szCs w:val="24"/>
              </w:rPr>
              <w:t xml:space="preserve">Paid Media Intelligence &amp; Optimization</w:t>
            </w:r>
          </w:p>
          <w:p>
            <w:r>
              <w:rPr>
                <w:rFonts w:ascii="Arial" w:cs="Arial" w:eastAsia="Arial" w:hAnsi="Arial"/>
                <w:i/>
                <w:iCs/>
                <w:color w:val="DDDDDD"/>
                <w:sz w:val="20"/>
                <w:szCs w:val="20"/>
              </w:rPr>
              <w:t xml:space="preserve">10-min slides  ·  15-min prototype walkthrough  ·  5-min Q&amp;A  ·  Calabasas, CA</w:t>
            </w:r>
          </w:p>
        </w:tc>
      </w:tr>
    </w:tbl>
    <w:p>
      <w:pPr>
        <w:spacing w:after="220" w:before="0"/>
      </w:pPr>
      <w:r>
        <w:rPr>
          <w:rFonts w:ascii="Arial" w:cs="Arial" w:eastAsia="Arial" w:hAnsi="Arial"/>
        </w:rPr>
        <w:t xml:space="preserve"/>
      </w:r>
    </w:p>
    <w:p>
      <w:pPr>
        <w:spacing w:after="160" w:before="360"/>
      </w:pPr>
      <w:r>
        <w:rPr>
          <w:rFonts w:ascii="Arial" w:cs="Arial" w:eastAsia="Arial" w:hAnsi="Arial"/>
          <w:b/>
          <w:bCs/>
          <w:color w:val="0F4C81"/>
          <w:sz w:val="28"/>
          <w:szCs w:val="28"/>
        </w:rPr>
        <w:t xml:space="preserve">1.  </w:t>
      </w:r>
      <w:r>
        <w:rPr>
          <w:rFonts w:ascii="Arial" w:cs="Arial" w:eastAsia="Arial" w:hAnsi="Arial"/>
          <w:b/>
          <w:bCs/>
          <w:color w:val="1A1A1A"/>
          <w:sz w:val="28"/>
          <w:szCs w:val="28"/>
        </w:rPr>
        <w:t xml:space="preserve">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4C81" w:sz="24" w:space="0"/>
              <w:bottom w:val="none" w:color="FFFFFF" w:sz="0"/>
              <w:right w:val="none" w:color="FFFFFF" w:sz="0"/>
            </w:tcBorders>
            <w:shd w:fill="F2F2F2" w:val="clear"/>
            <w:tcMar>
              <w:top w:type="dxa" w:w="200"/>
              <w:left w:type="dxa" w:w="280"/>
              <w:bottom w:type="dxa" w:w="200"/>
              <w:right w:type="dxa" w:w="280"/>
            </w:tcMar>
          </w:tcPr>
          <w:p>
            <w:pPr>
              <w:spacing w:after="80"/>
            </w:pPr>
            <w:r>
              <w:rPr>
                <w:rFonts w:ascii="Arial" w:cs="Arial" w:eastAsia="Arial" w:hAnsi="Arial"/>
                <w:b/>
                <w:bCs/>
                <w:i w:val="false"/>
                <w:iCs w:val="false"/>
                <w:color w:val="1A1A1A"/>
                <w:sz w:val="24"/>
                <w:szCs w:val="24"/>
              </w:rPr>
              <w:t xml:space="preserve">Design and build an AI-native paid media intelligence and budget optimization system for True Classic — then walk us through it.</w:t>
            </w:r>
          </w:p>
          <w:p>
            <w:pPr>
              <w:spacing w:after="80"/>
            </w:pPr>
            <w:r>
              <w:rPr>
                <w:rFonts w:ascii="Arial" w:cs="Arial" w:eastAsia="Arial" w:hAnsi="Arial"/>
                <w:color w:val="1A1A1A"/>
                <w:sz w:val="22"/>
                <w:szCs w:val="22"/>
              </w:rPr>
              <w:t xml:space="preserve">We want to see how you think, how you build, and how you communicate. The format is tight on purpose.</w:t>
            </w:r>
          </w:p>
          <w:p>
            <w:pPr>
              <w:spacing w:after="0"/>
            </w:pPr>
            <w:r>
              <w:rPr>
                <w:rFonts w:ascii="Arial" w:cs="Arial" w:eastAsia="Arial" w:hAnsi="Arial"/>
                <w:b w:val="false"/>
                <w:bCs w:val="false"/>
                <w:i/>
                <w:iCs/>
                <w:color w:val="6B6B6B"/>
                <w:sz w:val="20"/>
                <w:szCs w:val="20"/>
              </w:rPr>
              <w:t xml:space="preserve">10-min slides (3–5 slides max)  ·  15-min live prototype walkthrough  ·  5-min Q&amp;A</w:t>
            </w:r>
          </w:p>
        </w:tc>
      </w:tr>
    </w:tbl>
    <w:p>
      <w:pPr>
        <w:spacing w:after="120" w:before="0"/>
      </w:pPr>
      <w:r>
        <w:rPr>
          <w:rFonts w:ascii="Arial" w:cs="Arial" w:eastAsia="Arial" w:hAnsi="Arial"/>
        </w:rPr>
        <w:t xml:space="preserve"/>
      </w:r>
    </w:p>
    <w:p>
      <w:pPr>
        <w:spacing w:after="160" w:before="0"/>
      </w:pPr>
      <w:r>
        <w:rPr>
          <w:rFonts w:ascii="Arial" w:cs="Arial" w:eastAsia="Arial" w:hAnsi="Arial"/>
          <w:b w:val="false"/>
          <w:bCs w:val="false"/>
          <w:i w:val="false"/>
          <w:iCs w:val="false"/>
          <w:color w:val="1A1A1A"/>
          <w:sz w:val="22"/>
          <w:szCs w:val="22"/>
        </w:rPr>
        <w:t xml:space="preserve">You are inheriting a fragmented, multi-platform paid media operation spanning Meta, Google, Amazon, and Microsoft. Nothing is unified. Attribution models conflict. Taxonomies don’t match. Your system must make sense of it all, forecast performance, optimize budget allocation across channels, and automate execution recommendations — all while balancing the two-sided risk of overspending on inefficient placements and underfunding channels with room to scale.</w:t>
      </w:r>
    </w:p>
    <w:p>
      <w:pPr>
        <w:spacing w:after="100" w:before="220"/>
      </w:pPr>
      <w:r>
        <w:rPr>
          <w:rFonts w:ascii="Arial" w:cs="Arial" w:eastAsia="Arial" w:hAnsi="Arial"/>
          <w:b/>
          <w:bCs/>
          <w:color w:val="1A1A1A"/>
          <w:sz w:val="24"/>
          <w:szCs w:val="24"/>
        </w:rPr>
        <w:t xml:space="preserve">The format — 30 minutes total</w:t>
      </w:r>
    </w:p>
    <w:p>
      <w:pPr>
        <w:spacing w:after="140" w:before="0"/>
      </w:pPr>
      <w:r>
        <w:rPr>
          <w:rFonts w:ascii="Arial" w:cs="Arial" w:eastAsia="Arial" w:hAnsi="Arial"/>
          <w:b w:val="false"/>
          <w:bCs w:val="false"/>
          <w:i w:val="false"/>
          <w:iCs w:val="false"/>
          <w:color w:val="1A1A1A"/>
          <w:sz w:val="22"/>
          <w:szCs w:val="22"/>
        </w:rPr>
        <w:t xml:space="preserve">Three parts. Each one tests something different. Don't blur them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4C81" w:sz="24" w:space="0"/>
              <w:bottom w:val="none" w:color="FFFFFF" w:sz="0"/>
              <w:right w:val="none" w:color="FFFFFF" w:sz="0"/>
            </w:tcBorders>
            <w:shd w:fill="F2F2F2" w:val="clear"/>
            <w:tcMar>
              <w:top w:type="dxa" w:w="200"/>
              <w:left w:type="dxa" w:w="280"/>
              <w:bottom w:type="dxa" w:w="200"/>
              <w:right w:type="dxa" w:w="280"/>
            </w:tcMar>
          </w:tcPr>
          <w:p>
            <w:pPr>
              <w:spacing w:after="80"/>
            </w:pPr>
            <w:r>
              <w:rPr>
                <w:rFonts w:ascii="Arial" w:cs="Arial" w:eastAsia="Arial" w:hAnsi="Arial"/>
                <w:b/>
                <w:bCs/>
                <w:i w:val="false"/>
                <w:iCs w:val="false"/>
                <w:color w:val="0F4C81"/>
                <w:sz w:val="22"/>
                <w:szCs w:val="22"/>
              </w:rPr>
              <w:t xml:space="preserve">Part 1 — Slides (10 min, 3–5 slides max)</w:t>
            </w:r>
          </w:p>
          <w:p>
            <w:pPr>
              <w:spacing w:after="80"/>
            </w:pPr>
            <w:r>
              <w:rPr>
                <w:rFonts w:ascii="Arial" w:cs="Arial" w:eastAsia="Arial" w:hAnsi="Arial"/>
                <w:color w:val="1A1A1A"/>
                <w:sz w:val="22"/>
                <w:szCs w:val="22"/>
              </w:rPr>
              <w:t xml:space="preserve">Business logic, system architecture, and the key trade-offs you made. This is compression: show us you can take an ambiguous brief and frame it for an executive in under 10 minutes. We will hold you to the slide count.</w:t>
            </w:r>
          </w:p>
          <w:p>
            <w:pPr>
              <w:spacing w:after="80"/>
            </w:pPr>
            <w:r>
              <w:rPr>
                <w:rFonts w:ascii="Arial" w:cs="Arial" w:eastAsia="Arial" w:hAnsi="Arial"/>
                <w:color w:val="1A1A1A"/>
                <w:sz w:val="22"/>
                <w:szCs w:val="22"/>
              </w:rPr>
              <w:t xml:space="preserve"/>
            </w:r>
          </w:p>
          <w:p>
            <w:pPr>
              <w:spacing w:after="80"/>
            </w:pPr>
            <w:r>
              <w:rPr>
                <w:rFonts w:ascii="Arial" w:cs="Arial" w:eastAsia="Arial" w:hAnsi="Arial"/>
                <w:b/>
                <w:bCs/>
                <w:i w:val="false"/>
                <w:iCs w:val="false"/>
                <w:color w:val="0F4C81"/>
                <w:sz w:val="22"/>
                <w:szCs w:val="22"/>
              </w:rPr>
              <w:t xml:space="preserve">Part 2 — Prototype walkthrough (15 min, live)</w:t>
            </w:r>
          </w:p>
          <w:p>
            <w:pPr>
              <w:spacing w:after="80"/>
            </w:pPr>
            <w:r>
              <w:rPr>
                <w:rFonts w:ascii="Arial" w:cs="Arial" w:eastAsia="Arial" w:hAnsi="Arial"/>
                <w:color w:val="1A1A1A"/>
                <w:sz w:val="22"/>
                <w:szCs w:val="22"/>
              </w:rPr>
              <w:t xml:space="preserve">Demo your working prototype. Run it in front of us. Show ingestion, a forecast, a replenishment recommendation, an allocation decision, and a buyer view. Narrate your stack as you go — what's the model, what's the LLM, where's the human in the loop.</w:t>
            </w:r>
          </w:p>
          <w:p>
            <w:pPr>
              <w:spacing w:after="80"/>
            </w:pPr>
            <w:r>
              <w:rPr>
                <w:rFonts w:ascii="Arial" w:cs="Arial" w:eastAsia="Arial" w:hAnsi="Arial"/>
                <w:color w:val="1A1A1A"/>
                <w:sz w:val="22"/>
                <w:szCs w:val="22"/>
              </w:rPr>
              <w:t xml:space="preserve"/>
            </w:r>
          </w:p>
          <w:p>
            <w:pPr>
              <w:spacing w:after="80"/>
            </w:pPr>
            <w:r>
              <w:rPr>
                <w:rFonts w:ascii="Arial" w:cs="Arial" w:eastAsia="Arial" w:hAnsi="Arial"/>
                <w:b/>
                <w:bCs/>
                <w:i w:val="false"/>
                <w:iCs w:val="false"/>
                <w:color w:val="0F4C81"/>
                <w:sz w:val="22"/>
                <w:szCs w:val="22"/>
              </w:rPr>
              <w:t xml:space="preserve">Part 3 — Q&amp;A (5 min)</w:t>
            </w:r>
          </w:p>
          <w:p>
            <w:pPr>
              <w:spacing w:after="0"/>
            </w:pPr>
            <w:r>
              <w:rPr>
                <w:rFonts w:ascii="Arial" w:cs="Arial" w:eastAsia="Arial" w:hAnsi="Arial"/>
                <w:color w:val="1A1A1A"/>
                <w:sz w:val="22"/>
                <w:szCs w:val="22"/>
              </w:rPr>
              <w:t xml:space="preserve">Sharp questions on the choices you made. Be ready to defend any line of code, any model selection, and any business assumption.</w:t>
            </w:r>
          </w:p>
        </w:tc>
      </w:tr>
    </w:tbl>
    <w:p>
      <w:pPr>
        <w:spacing w:after="16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4C81" w:sz="24" w:space="0"/>
              <w:bottom w:val="none" w:color="FFFFFF" w:sz="0"/>
              <w:right w:val="none" w:color="FFFFFF" w:sz="0"/>
            </w:tcBorders>
            <w:shd w:fill="E8F0F8" w:val="clear"/>
            <w:tcMar>
              <w:top w:type="dxa" w:w="200"/>
              <w:left w:type="dxa" w:w="280"/>
              <w:bottom w:type="dxa" w:w="200"/>
              <w:right w:type="dxa" w:w="280"/>
            </w:tcMar>
          </w:tcPr>
          <w:p>
            <w:pPr>
              <w:spacing w:after="0"/>
            </w:pPr>
            <w:r>
              <w:rPr>
                <w:rFonts w:ascii="Arial" w:cs="Arial" w:eastAsia="Arial" w:hAnsi="Arial"/>
                <w:b/>
                <w:bCs/>
                <w:i w:val="false"/>
                <w:iCs w:val="false"/>
                <w:color w:val="1A1A1A"/>
                <w:sz w:val="22"/>
                <w:szCs w:val="22"/>
              </w:rPr>
              <w:t xml:space="preserve">This role is for an engineer who builds with AI as a primary tool. </w:t>
            </w:r>
            <w:r>
              <w:rPr>
                <w:rFonts w:ascii="Arial" w:cs="Arial" w:eastAsia="Arial" w:hAnsi="Arial"/>
                <w:b w:val="false"/>
                <w:bCs w:val="false"/>
                <w:i w:val="false"/>
                <w:iCs w:val="false"/>
                <w:color w:val="1A1A1A"/>
                <w:sz w:val="22"/>
                <w:szCs w:val="22"/>
              </w:rPr>
              <w:t xml:space="preserve">We expect you used Claude Code, Cursor, v0, or similar to ship the prototype. Show us your workflow during the walkthrough — which tools you reached for, how you prompted, where you intervened, what you rejected. The orchestration is the skill we're hiring for.</w:t>
            </w:r>
          </w:p>
        </w:tc>
      </w:tr>
    </w:tbl>
    <w:p>
      <w:pPr>
        <w:spacing w:after="100" w:before="220"/>
      </w:pPr>
      <w:r>
        <w:rPr>
          <w:rFonts w:ascii="Arial" w:cs="Arial" w:eastAsia="Arial" w:hAnsi="Arial"/>
          <w:b/>
          <w:bCs/>
          <w:color w:val="1A1A1A"/>
          <w:sz w:val="24"/>
          <w:szCs w:val="24"/>
        </w:rPr>
        <w:t xml:space="preserve">What to build</w:t>
      </w:r>
    </w:p>
    <w:p>
      <w:pPr>
        <w:spacing w:after="120" w:before="0"/>
      </w:pPr>
      <w:r>
        <w:rPr>
          <w:rFonts w:ascii="Arial" w:cs="Arial" w:eastAsia="Arial" w:hAnsi="Arial"/>
          <w:b w:val="false"/>
          <w:bCs w:val="false"/>
          <w:i w:val="false"/>
          <w:iCs w:val="false"/>
          <w:color w:val="1A1A1A"/>
          <w:sz w:val="22"/>
          <w:szCs w:val="22"/>
        </w:rPr>
        <w:t xml:space="preserve">A working prototype we can interact with during your 15-minute walkthrough. It does not need to be production-grade — it needs to be real and runnable end-to-end. Pick the scope you can credibly demo in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5C00" w:sz="24" w:space="0"/>
              <w:bottom w:val="none" w:color="FFFFFF" w:sz="0"/>
              <w:right w:val="none" w:color="FFFFFF" w:sz="0"/>
            </w:tcBorders>
            <w:shd w:fill="FFF8E5" w:val="clear"/>
            <w:tcMar>
              <w:top w:type="dxa" w:w="200"/>
              <w:left w:type="dxa" w:w="280"/>
              <w:bottom w:type="dxa" w:w="200"/>
              <w:right w:type="dxa" w:w="280"/>
            </w:tcMar>
          </w:tcPr>
          <w:p>
            <w:pPr>
              <w:spacing w:after="80"/>
            </w:pPr>
            <w:r>
              <w:rPr>
                <w:rFonts w:ascii="Arial" w:cs="Arial" w:eastAsia="Arial" w:hAnsi="Arial"/>
                <w:b/>
                <w:bCs/>
                <w:i w:val="false"/>
                <w:iCs w:val="false"/>
                <w:color w:val="1A1A1A"/>
                <w:sz w:val="22"/>
                <w:szCs w:val="22"/>
              </w:rPr>
              <w:t xml:space="preserve">Minimum bar — your walkthrough must show, live:</w:t>
            </w:r>
          </w:p>
          <w:p>
            <w:pPr>
              <w:spacing w:after="80"/>
            </w:pPr>
            <w:r>
              <w:rPr>
                <w:rFonts w:ascii="Arial" w:cs="Arial" w:eastAsia="Arial" w:hAnsi="Arial"/>
                <w:color w:val="1A1A1A"/>
                <w:sz w:val="22"/>
                <w:szCs w:val="22"/>
              </w:rPr>
              <w:t xml:space="preserve">  ·  Ingestion of ad performance data from at least two platforms (mock Meta + Google is fine)</w:t>
            </w:r>
          </w:p>
          <w:p>
            <w:pPr>
              <w:spacing w:after="80"/>
            </w:pPr>
            <w:r>
              <w:rPr>
                <w:rFonts w:ascii="Arial" w:cs="Arial" w:eastAsia="Arial" w:hAnsi="Arial"/>
                <w:color w:val="1A1A1A"/>
                <w:sz w:val="22"/>
                <w:szCs w:val="22"/>
              </w:rPr>
              <w:t xml:space="preserve">  ·  A forecast generated by your model for a real SKU set you've chosen</w:t>
            </w:r>
          </w:p>
          <w:p>
            <w:pPr>
              <w:spacing w:after="80"/>
            </w:pPr>
            <w:r>
              <w:rPr>
                <w:rFonts w:ascii="Arial" w:cs="Arial" w:eastAsia="Arial" w:hAnsi="Arial"/>
                <w:color w:val="1A1A1A"/>
                <w:sz w:val="22"/>
                <w:szCs w:val="22"/>
              </w:rPr>
              <w:t xml:space="preserve">  ·  A budget reallocation recommendation with the logic exposed (efficiency curves, constraints, trade-offs)</w:t>
            </w:r>
          </w:p>
          <w:p>
            <w:pPr>
              <w:spacing w:after="80"/>
            </w:pPr>
            <w:r>
              <w:rPr>
                <w:rFonts w:ascii="Arial" w:cs="Arial" w:eastAsia="Arial" w:hAnsi="Arial"/>
                <w:color w:val="1A1A1A"/>
                <w:sz w:val="22"/>
                <w:szCs w:val="22"/>
              </w:rPr>
              <w:t xml:space="preserve">  ·  A marketer-facing approval view — what does the human actually see and approve?</w:t>
            </w:r>
          </w:p>
          <w:p>
            <w:pPr>
              <w:spacing w:after="0"/>
            </w:pPr>
            <w:r>
              <w:rPr>
                <w:rFonts w:ascii="Arial" w:cs="Arial" w:eastAsia="Arial" w:hAnsi="Arial"/>
                <w:color w:val="1A1A1A"/>
                <w:sz w:val="22"/>
                <w:szCs w:val="22"/>
              </w:rPr>
              <w:t xml:space="preserve">  ·  </w:t>
            </w:r>
          </w:p>
        </w:tc>
      </w:tr>
    </w:tbl>
    <w:p>
      <w:pPr>
        <w:spacing w:after="140" w:before="0"/>
      </w:pPr>
      <w:r>
        <w:rPr>
          <w:rFonts w:ascii="Arial" w:cs="Arial" w:eastAsia="Arial" w:hAnsi="Arial"/>
        </w:rPr>
        <w:t xml:space="preserve"/>
      </w:r>
    </w:p>
    <w:p>
      <w:pPr>
        <w:spacing w:after="100" w:before="220"/>
      </w:pPr>
      <w:r>
        <w:rPr>
          <w:rFonts w:ascii="Arial" w:cs="Arial" w:eastAsia="Arial" w:hAnsi="Arial"/>
          <w:b/>
          <w:bCs/>
          <w:color w:val="1A1A1A"/>
          <w:sz w:val="24"/>
          <w:szCs w:val="24"/>
        </w:rPr>
        <w:t xml:space="preserve">Scope guidance</w:t>
      </w:r>
    </w:p>
    <w:p>
      <w:pPr>
        <w:spacing w:after="120" w:before="0"/>
      </w:pPr>
      <w:r>
        <w:rPr>
          <w:rFonts w:ascii="Arial" w:cs="Arial" w:eastAsia="Arial" w:hAnsi="Arial"/>
          <w:b w:val="false"/>
          <w:bCs w:val="false"/>
          <w:i w:val="false"/>
          <w:iCs w:val="false"/>
          <w:color w:val="1A1A1A"/>
          <w:sz w:val="22"/>
          <w:szCs w:val="22"/>
        </w:rPr>
        <w:t xml:space="preserve">We are not looking for full coverage. A narrow, real, runnable slice beats a broad mockup every time. Pick 2–3 ad platforms, a handful of campaigns, and use synthetic or public advertising data if you need to — just be transparent about what’s real and what’s stubbed.</w:t>
      </w:r>
    </w:p>
    <w:p>
      <w:pPr>
        <w:spacing w:after="100" w:before="220"/>
      </w:pPr>
      <w:r>
        <w:rPr>
          <w:rFonts w:ascii="Arial" w:cs="Arial" w:eastAsia="Arial" w:hAnsi="Arial"/>
          <w:b/>
          <w:bCs/>
          <w:color w:val="1A1A1A"/>
          <w:sz w:val="24"/>
          <w:szCs w:val="24"/>
        </w:rPr>
        <w:t xml:space="preserve">Tech expectations</w:t>
      </w:r>
    </w:p>
    <w:p>
      <w:pPr>
        <w:spacing w:after="120" w:before="0"/>
      </w:pPr>
      <w:r>
        <w:rPr>
          <w:rFonts w:ascii="Arial" w:cs="Arial" w:eastAsia="Arial" w:hAnsi="Arial"/>
          <w:b w:val="false"/>
          <w:bCs w:val="false"/>
          <w:i w:val="false"/>
          <w:iCs w:val="false"/>
          <w:color w:val="1A1A1A"/>
          <w:sz w:val="22"/>
          <w:szCs w:val="22"/>
        </w:rPr>
        <w:t xml:space="preserve">Build it however you'd actually build it. Python notebook, Streamlit app, Next.js dashboard, n8n flow, Retool, hand-rolled FastAPI — your call. The choice itself is signal. You'll be asked to defend it in Q&amp;A.</w:t>
      </w:r>
    </w:p>
    <w:p>
      <w:pPr>
        <w:spacing w:after="100" w:before="220"/>
      </w:pPr>
      <w:r>
        <w:rPr>
          <w:rFonts w:ascii="Arial" w:cs="Arial" w:eastAsia="Arial" w:hAnsi="Arial"/>
          <w:b/>
          <w:bCs/>
          <w:color w:val="1A1A1A"/>
          <w:sz w:val="24"/>
          <w:szCs w:val="24"/>
        </w:rPr>
        <w:t xml:space="preserve">What to bring on interview day</w:t>
      </w:r>
    </w:p>
    <w:p>
      <w:pPr>
        <w:pStyle w:val="ListParagraph"/>
        <w:numPr>
          <w:ilvl w:val="0"/>
          <w:numId w:val="2"/>
        </w:numPr>
        <w:spacing w:after="60"/>
      </w:pPr>
      <w:r>
        <w:rPr>
          <w:rFonts w:ascii="Arial" w:cs="Arial" w:eastAsia="Arial" w:hAnsi="Arial"/>
          <w:b w:val="false"/>
          <w:bCs w:val="false"/>
          <w:color w:val="1A1A1A"/>
          <w:sz w:val="22"/>
          <w:szCs w:val="22"/>
        </w:rPr>
        <w:t xml:space="preserve">3–5 slides (PDF or deck link — have a backup format)</w:t>
      </w:r>
    </w:p>
    <w:p>
      <w:pPr>
        <w:pStyle w:val="ListParagraph"/>
        <w:numPr>
          <w:ilvl w:val="0"/>
          <w:numId w:val="2"/>
        </w:numPr>
        <w:spacing w:after="60"/>
      </w:pPr>
      <w:r>
        <w:rPr>
          <w:rFonts w:ascii="Arial" w:cs="Arial" w:eastAsia="Arial" w:hAnsi="Arial"/>
          <w:b w:val="false"/>
          <w:bCs w:val="false"/>
          <w:color w:val="1A1A1A"/>
          <w:sz w:val="22"/>
          <w:szCs w:val="22"/>
        </w:rPr>
        <w:t xml:space="preserve">The running prototype (laptop, deployed link, or both — have a backup)</w:t>
      </w:r>
    </w:p>
    <w:p>
      <w:pPr>
        <w:pStyle w:val="ListParagraph"/>
        <w:numPr>
          <w:ilvl w:val="0"/>
          <w:numId w:val="2"/>
        </w:numPr>
        <w:spacing w:after="60"/>
      </w:pPr>
      <w:r>
        <w:rPr>
          <w:rFonts w:ascii="Arial" w:cs="Arial" w:eastAsia="Arial" w:hAnsi="Arial"/>
          <w:b w:val="false"/>
          <w:bCs w:val="false"/>
          <w:color w:val="1A1A1A"/>
          <w:sz w:val="22"/>
          <w:szCs w:val="22"/>
        </w:rPr>
        <w:t xml:space="preserve">Your code, accessible — GitHub repo or zipped folder we can scroll through</w:t>
      </w:r>
    </w:p>
    <w:p>
      <w:pPr>
        <w:pStyle w:val="ListParagraph"/>
        <w:numPr>
          <w:ilvl w:val="0"/>
          <w:numId w:val="2"/>
        </w:numPr>
        <w:spacing w:after="60"/>
      </w:pPr>
      <w:r>
        <w:rPr>
          <w:rFonts w:ascii="Arial" w:cs="Arial" w:eastAsia="Arial" w:hAnsi="Arial"/>
          <w:b w:val="false"/>
          <w:bCs w:val="false"/>
          <w:color w:val="1A1A1A"/>
          <w:sz w:val="22"/>
          <w:szCs w:val="22"/>
        </w:rPr>
        <w:t xml:space="preserve">A short README explaining what's real, what's mocked, and what you'd build next with two more weeks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4C81" w:sz="24" w:space="0"/>
              <w:bottom w:val="none" w:color="FFFFFF" w:sz="0"/>
              <w:right w:val="none" w:color="FFFFFF" w:sz="0"/>
            </w:tcBorders>
            <w:shd w:fill="F2F2F2" w:val="clear"/>
            <w:tcMar>
              <w:top w:type="dxa" w:w="200"/>
              <w:left w:type="dxa" w:w="280"/>
              <w:bottom w:type="dxa" w:w="200"/>
              <w:right w:type="dxa" w:w="280"/>
            </w:tcMar>
          </w:tcPr>
          <w:p>
            <w:pPr>
              <w:spacing w:after="0"/>
            </w:pPr>
            <w:r>
              <w:rPr>
                <w:rFonts w:ascii="Arial" w:cs="Arial" w:eastAsia="Arial" w:hAnsi="Arial"/>
                <w:b/>
                <w:bCs/>
                <w:i w:val="false"/>
                <w:iCs w:val="false"/>
                <w:color w:val="1A1A1A"/>
                <w:sz w:val="22"/>
                <w:szCs w:val="22"/>
              </w:rPr>
              <w:t xml:space="preserve">Be specific. </w:t>
            </w:r>
            <w:r>
              <w:rPr>
                <w:rFonts w:ascii="Arial" w:cs="Arial" w:eastAsia="Arial" w:hAnsi="Arial"/>
                <w:b w:val="false"/>
                <w:bCs w:val="false"/>
                <w:i w:val="false"/>
                <w:iCs w:val="false"/>
                <w:color w:val="1A1A1A"/>
                <w:sz w:val="22"/>
                <w:szCs w:val="22"/>
              </w:rPr>
              <w:t xml:space="preserve">Name the models, tools, integrations, and LLMs you used — on slides, and again in the live walkthrough. "Machine learning" is not an answer. "XGBoost ensemble trained on SKU × channel demand signals with Prophet for seasonality decomposition" is — and we want to see it running on real data, not just described on a slide.</w:t>
            </w:r>
          </w:p>
        </w:tc>
      </w:tr>
    </w:tbl>
    <w:p>
      <w:pPr>
        <w:spacing w:after="100" w:before="220"/>
      </w:pPr>
      <w:r>
        <w:rPr>
          <w:rFonts w:ascii="Arial" w:cs="Arial" w:eastAsia="Arial" w:hAnsi="Arial"/>
          <w:b/>
          <w:bCs/>
          <w:color w:val="1A1A1A"/>
          <w:sz w:val="24"/>
          <w:szCs w:val="24"/>
        </w:rPr>
        <w:t xml:space="preserve">What belongs where</w:t>
      </w:r>
    </w:p>
    <w:p>
      <w:pPr>
        <w:spacing w:after="120" w:before="0"/>
      </w:pPr>
      <w:r>
        <w:rPr>
          <w:rFonts w:ascii="Arial" w:cs="Arial" w:eastAsia="Arial" w:hAnsi="Arial"/>
          <w:b w:val="false"/>
          <w:bCs w:val="false"/>
          <w:i w:val="false"/>
          <w:iCs w:val="false"/>
          <w:color w:val="1A1A1A"/>
          <w:sz w:val="22"/>
          <w:szCs w:val="22"/>
        </w:rPr>
        <w:t xml:space="preserve">Don't waste your 15 minutes of demo time on architecture diagrams, and don't waste your 10 minutes of slide time on screenshots of your UI. Use each part for what it's best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Slides (10 min)</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Business framing, system architecture, model choices, trade-offs, what you'd build next. Compression and clarity.</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Prototype (15 min)</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Live execution. Run the system, show it working, narrate your stack and AI workflow as you go.</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Q&amp;A (5 min)</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Defending the decisions you made — on data, models, integrations, UX, and how you used AI to build.</w:t>
            </w:r>
          </w:p>
        </w:tc>
      </w:tr>
    </w:tbl>
    <w:p>
      <w:pPr>
        <w:spacing w:after="160" w:before="0"/>
      </w:pPr>
      <w:r>
        <w:rPr>
          <w:rFonts w:ascii="Arial" w:cs="Arial" w:eastAsia="Arial" w:hAnsi="Arial"/>
        </w:rPr>
        <w:t xml:space="preserve"/>
      </w:r>
    </w:p>
    <w:p>
      <w:pPr>
        <w:spacing w:after="100" w:before="220"/>
      </w:pPr>
      <w:r>
        <w:rPr>
          <w:rFonts w:ascii="Arial" w:cs="Arial" w:eastAsia="Arial" w:hAnsi="Arial"/>
          <w:b/>
          <w:bCs/>
          <w:color w:val="1A1A1A"/>
          <w:sz w:val="24"/>
          <w:szCs w:val="24"/>
        </w:rPr>
        <w:t xml:space="preserve">Three success criteria — in priority order</w:t>
      </w:r>
    </w:p>
    <w:p>
      <w:pPr>
        <w:spacing w:after="160" w:before="0"/>
      </w:pPr>
      <w:r>
        <w:rPr>
          <w:rFonts w:ascii="Arial" w:cs="Arial" w:eastAsia="Arial" w:hAnsi="Arial"/>
          <w:b w:val="false"/>
          <w:bCs w:val="false"/>
          <w:i/>
          <w:iCs/>
          <w:color w:val="6B6B6B"/>
          <w:sz w:val="22"/>
          <w:szCs w:val="22"/>
        </w:rPr>
        <w:t xml:space="preserve">Your prototype should make its choices observable against these metrics. We want to see the numbers your system would optimize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1A1A1A" w:val="clear"/>
            <w:tcMar>
              <w:top w:type="dxa" w:w="200"/>
              <w:left w:type="dxa" w:w="160"/>
              <w:bottom w:type="dxa" w:w="200"/>
              <w:right w:type="dxa" w:w="160"/>
            </w:tcMar>
            <w:vAlign w:val="center"/>
          </w:tcPr>
          <w:p>
            <w:pPr>
              <w:jc w:val="center"/>
            </w:pPr>
            <w:r>
              <w:rPr>
                <w:rFonts w:ascii="Arial" w:cs="Arial" w:eastAsia="Arial" w:hAnsi="Arial"/>
                <w:b/>
                <w:bCs/>
                <w:color w:val="FFFFFF"/>
                <w:sz w:val="36"/>
                <w:szCs w:val="36"/>
              </w:rPr>
              <w:t xml:space="preserve">01</w:t>
            </w:r>
          </w:p>
        </w:tc>
        <w:tc>
          <w:tcPr>
            <w:tcW w:type="dxa" w:w="546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pPr>
            <w:r>
              <w:rPr>
                <w:rFonts w:ascii="Arial" w:cs="Arial" w:eastAsia="Arial" w:hAnsi="Arial"/>
                <w:b/>
                <w:bCs/>
                <w:color w:val="0F4C81"/>
                <w:spacing w:val="40"/>
                <w:sz w:val="18"/>
                <w:szCs w:val="18"/>
              </w:rPr>
              <w:t xml:space="preserve">PRIMARY</w:t>
            </w:r>
          </w:p>
          <w:p>
            <w:pPr>
              <w:spacing w:after="80"/>
            </w:pPr>
            <w:r>
              <w:rPr>
                <w:rFonts w:ascii="Arial" w:cs="Arial" w:eastAsia="Arial" w:hAnsi="Arial"/>
                <w:b/>
                <w:bCs/>
                <w:color w:val="1A1A1A"/>
                <w:sz w:val="24"/>
                <w:szCs w:val="24"/>
              </w:rPr>
              <w:t xml:space="preserve">Maximize Blended ROAS</w:t>
            </w:r>
          </w:p>
          <w:p>
            <w:r>
              <w:rPr>
                <w:rFonts w:ascii="Arial" w:cs="Arial" w:eastAsia="Arial" w:hAnsi="Arial"/>
                <w:color w:val="1A1A1A"/>
                <w:sz w:val="20"/>
                <w:szCs w:val="20"/>
              </w:rPr>
              <w:t xml:space="preserve">Every dollar of ad spend must be accountable. Your system should surface diminishing returns per channel and recommend reallocations that lift blended return on ad spend. Consistently below target = system failure.</w:t>
            </w:r>
          </w:p>
        </w:tc>
        <w:tc>
          <w:tcPr>
            <w:tcW w:type="dxa" w:w="300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vAlign w:val="center"/>
          </w:tcPr>
          <w:p>
            <w:pPr>
              <w:jc w:val="center"/>
            </w:pPr>
            <w:r>
              <w:rPr>
                <w:rFonts w:ascii="Arial" w:cs="Arial" w:eastAsia="Arial" w:hAnsi="Arial"/>
                <w:b/>
                <w:bCs/>
                <w:color w:val="1A1A1A"/>
                <w:sz w:val="24"/>
                <w:szCs w:val="24"/>
              </w:rPr>
              <w:t xml:space="preserve">Blended ROAS ≥ 4.0x</w:t>
            </w:r>
          </w:p>
        </w:tc>
      </w:tr>
    </w:tbl>
    <w:p>
      <w:pPr>
        <w:spacing w:after="10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1A1A1A" w:val="clear"/>
            <w:tcMar>
              <w:top w:type="dxa" w:w="200"/>
              <w:left w:type="dxa" w:w="160"/>
              <w:bottom w:type="dxa" w:w="200"/>
              <w:right w:type="dxa" w:w="160"/>
            </w:tcMar>
            <w:vAlign w:val="center"/>
          </w:tcPr>
          <w:p>
            <w:pPr>
              <w:jc w:val="center"/>
            </w:pPr>
            <w:r>
              <w:rPr>
                <w:rFonts w:ascii="Arial" w:cs="Arial" w:eastAsia="Arial" w:hAnsi="Arial"/>
                <w:b/>
                <w:bCs/>
                <w:color w:val="FFFFFF"/>
                <w:sz w:val="36"/>
                <w:szCs w:val="36"/>
              </w:rPr>
              <w:t xml:space="preserve">02</w:t>
            </w:r>
          </w:p>
        </w:tc>
        <w:tc>
          <w:tcPr>
            <w:tcW w:type="dxa" w:w="546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pPr>
            <w:r>
              <w:rPr>
                <w:rFonts w:ascii="Arial" w:cs="Arial" w:eastAsia="Arial" w:hAnsi="Arial"/>
                <w:b/>
                <w:bCs/>
                <w:color w:val="B85C00"/>
                <w:spacing w:val="40"/>
                <w:sz w:val="18"/>
                <w:szCs w:val="18"/>
              </w:rPr>
              <w:t xml:space="preserve">SECONDARY</w:t>
            </w:r>
          </w:p>
          <w:p>
            <w:pPr>
              <w:spacing w:after="80"/>
            </w:pPr>
            <w:r>
              <w:rPr>
                <w:rFonts w:ascii="Arial" w:cs="Arial" w:eastAsia="Arial" w:hAnsi="Arial"/>
                <w:b/>
                <w:bCs/>
                <w:color w:val="1A1A1A"/>
                <w:sz w:val="24"/>
                <w:szCs w:val="24"/>
              </w:rPr>
              <w:t xml:space="preserve">Control New Customer Acquisition Cost</w:t>
            </w:r>
          </w:p>
          <w:p>
            <w:r>
              <w:rPr>
                <w:rFonts w:ascii="Arial" w:cs="Arial" w:eastAsia="Arial" w:hAnsi="Arial"/>
                <w:color w:val="1A1A1A"/>
                <w:sz w:val="20"/>
                <w:szCs w:val="20"/>
              </w:rPr>
              <w:t xml:space="preserve">Growth requires new customers, but not at any price. Your system must distinguish prospecting from retargeting spend and keep new-customer CPA within ceiling — without starving the top of funnel.</w:t>
            </w:r>
          </w:p>
        </w:tc>
        <w:tc>
          <w:tcPr>
            <w:tcW w:type="dxa" w:w="300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vAlign w:val="center"/>
          </w:tcPr>
          <w:p>
            <w:pPr>
              <w:jc w:val="center"/>
            </w:pPr>
            <w:r>
              <w:rPr>
                <w:rFonts w:ascii="Arial" w:cs="Arial" w:eastAsia="Arial" w:hAnsi="Arial"/>
                <w:b/>
                <w:bCs/>
                <w:color w:val="1A1A1A"/>
                <w:sz w:val="24"/>
                <w:szCs w:val="24"/>
              </w:rPr>
              <w:t xml:space="preserve">NC-CPA ≤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4"/>
              <w:left w:val="single" w:color="CCCCCC" w:sz="4"/>
              <w:bottom w:val="single" w:color="CCCCCC" w:sz="4"/>
              <w:right w:val="single" w:color="CCCCCC" w:sz="4"/>
            </w:tcBorders>
            <w:shd w:fill="1A1A1A" w:val="clear"/>
            <w:tcMar>
              <w:top w:type="dxa" w:w="200"/>
              <w:left w:type="dxa" w:w="160"/>
              <w:bottom w:type="dxa" w:w="200"/>
              <w:right w:type="dxa" w:w="160"/>
            </w:tcMar>
            <w:vAlign w:val="center"/>
          </w:tcPr>
          <w:p>
            <w:pPr>
              <w:jc w:val="center"/>
            </w:pPr>
            <w:r>
              <w:rPr>
                <w:rFonts w:ascii="Arial" w:cs="Arial" w:eastAsia="Arial" w:hAnsi="Arial"/>
                <w:b/>
                <w:bCs/>
                <w:color w:val="FFFFFF"/>
                <w:sz w:val="36"/>
                <w:szCs w:val="36"/>
              </w:rPr>
              <w:t xml:space="preserve">03</w:t>
            </w:r>
          </w:p>
        </w:tc>
        <w:tc>
          <w:tcPr>
            <w:tcW w:type="dxa" w:w="5460"/>
            <w:tcBorders>
              <w:top w:val="single" w:color="CCCCCC" w:sz="4"/>
              <w:left w:val="single" w:color="CCCCCC" w:sz="4"/>
              <w:bottom w:val="single" w:color="CCCCCC" w:sz="4"/>
              <w:right w:val="single" w:color="CCCCCC" w:sz="4"/>
            </w:tcBorders>
            <w:tcMar>
              <w:top w:type="dxa" w:w="160"/>
              <w:left w:type="dxa" w:w="200"/>
              <w:bottom w:type="dxa" w:w="160"/>
              <w:right w:type="dxa" w:w="200"/>
            </w:tcMar>
          </w:tcPr>
          <w:p>
            <w:pPr>
              <w:spacing w:after="60"/>
            </w:pPr>
            <w:r>
              <w:rPr>
                <w:rFonts w:ascii="Arial" w:cs="Arial" w:eastAsia="Arial" w:hAnsi="Arial"/>
                <w:b/>
                <w:bCs/>
                <w:color w:val="6B6B6B"/>
                <w:spacing w:val="40"/>
                <w:sz w:val="18"/>
                <w:szCs w:val="18"/>
              </w:rPr>
              <w:t xml:space="preserve">TERTIARY</w:t>
            </w:r>
          </w:p>
          <w:p>
            <w:pPr>
              <w:spacing w:after="80"/>
            </w:pPr>
            <w:r>
              <w:rPr>
                <w:rFonts w:ascii="Arial" w:cs="Arial" w:eastAsia="Arial" w:hAnsi="Arial"/>
                <w:b/>
                <w:bCs/>
                <w:color w:val="1A1A1A"/>
                <w:sz w:val="24"/>
                <w:szCs w:val="24"/>
              </w:rPr>
              <w:t xml:space="preserve">Eliminate Budget Waste &amp; Underspend</w:t>
            </w:r>
          </w:p>
          <w:p>
            <w:r>
              <w:rPr>
                <w:rFonts w:ascii="Arial" w:cs="Arial" w:eastAsia="Arial" w:hAnsi="Arial"/>
                <w:color w:val="1A1A1A"/>
                <w:sz w:val="20"/>
                <w:szCs w:val="20"/>
              </w:rPr>
              <w:t xml:space="preserve">Efficient campaigns that hit daily budget caps by noon are leaving revenue on the table. Inefficient campaigns burning full budgets are wasting cash. Your system should flag both and recommend corrections.</w:t>
            </w:r>
          </w:p>
        </w:tc>
        <w:tc>
          <w:tcPr>
            <w:tcW w:type="dxa" w:w="3000"/>
            <w:tcBorders>
              <w:top w:val="single" w:color="CCCCCC" w:sz="4"/>
              <w:left w:val="single" w:color="CCCCCC" w:sz="4"/>
              <w:bottom w:val="single" w:color="CCCCCC" w:sz="4"/>
              <w:right w:val="single" w:color="CCCCCC" w:sz="4"/>
            </w:tcBorders>
            <w:shd w:fill="F2F2F2" w:val="clear"/>
            <w:tcMar>
              <w:top w:type="dxa" w:w="160"/>
              <w:left w:type="dxa" w:w="200"/>
              <w:bottom w:type="dxa" w:w="160"/>
              <w:right w:type="dxa" w:w="200"/>
            </w:tcMar>
            <w:vAlign w:val="center"/>
          </w:tcPr>
          <w:p>
            <w:pPr>
              <w:jc w:val="center"/>
            </w:pPr>
            <w:r>
              <w:rPr>
                <w:rFonts w:ascii="Arial" w:cs="Arial" w:eastAsia="Arial" w:hAnsi="Arial"/>
                <w:b/>
                <w:bCs/>
                <w:color w:val="1A1A1A"/>
                <w:sz w:val="24"/>
                <w:szCs w:val="24"/>
              </w:rPr>
              <w:t xml:space="preserve">100% Efficient
Utilization</w:t>
            </w:r>
          </w:p>
        </w:tc>
      </w:tr>
    </w:tbl>
    <w:p>
      <w:pPr>
        <w:spacing w:after="160" w:before="360"/>
      </w:pPr>
      <w:r>
        <w:rPr>
          <w:rFonts w:ascii="Arial" w:cs="Arial" w:eastAsia="Arial" w:hAnsi="Arial"/>
          <w:b/>
          <w:bCs/>
          <w:color w:val="0F4C81"/>
          <w:sz w:val="28"/>
          <w:szCs w:val="28"/>
        </w:rPr>
        <w:t xml:space="preserve">2.  </w:t>
      </w:r>
      <w:r>
        <w:rPr>
          <w:rFonts w:ascii="Arial" w:cs="Arial" w:eastAsia="Arial" w:hAnsi="Arial"/>
          <w:b/>
          <w:bCs/>
          <w:color w:val="1A1A1A"/>
          <w:sz w:val="28"/>
          <w:szCs w:val="28"/>
        </w:rPr>
        <w:t xml:space="preserve">The Three Modules</w:t>
      </w:r>
    </w:p>
    <w:p>
      <w:pPr>
        <w:spacing w:after="180" w:before="0"/>
      </w:pPr>
      <w:r>
        <w:rPr>
          <w:rFonts w:ascii="Arial" w:cs="Arial" w:eastAsia="Arial" w:hAnsi="Arial"/>
          <w:b w:val="false"/>
          <w:bCs w:val="false"/>
          <w:i w:val="false"/>
          <w:iCs w:val="false"/>
          <w:color w:val="1A1A1A"/>
          <w:sz w:val="22"/>
          <w:szCs w:val="22"/>
        </w:rPr>
        <w:t xml:space="preserve">Structure your prototype around these. You may propose a different structure — but justify it, and have working code for whatever you propose.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4"/>
              <w:left w:val="single" w:color="CCCCCC" w:sz="4"/>
              <w:bottom w:val="single" w:color="CCCCCC" w:sz="4"/>
              <w:right w:val="single" w:color="CCCCCC" w:sz="4"/>
            </w:tcBorders>
            <w:shd w:fill="1A1A1A" w:val="clear"/>
            <w:tcMar>
              <w:top w:type="dxa" w:w="160"/>
              <w:left w:type="dxa" w:w="160"/>
              <w:bottom w:type="dxa" w:w="160"/>
              <w:right w:type="dxa" w:w="160"/>
            </w:tcMar>
            <w:vAlign w:val="center"/>
          </w:tcPr>
          <w:p>
            <w:pPr>
              <w:jc w:val="center"/>
            </w:pPr>
            <w:r>
              <w:rPr>
                <w:rFonts w:ascii="Arial" w:cs="Arial" w:eastAsia="Arial" w:hAnsi="Arial"/>
                <w:b/>
                <w:bCs/>
                <w:color w:val="FFFFFF"/>
                <w:sz w:val="26"/>
                <w:szCs w:val="26"/>
              </w:rPr>
              <w:t xml:space="preserve">M1</w:t>
            </w:r>
          </w:p>
        </w:tc>
        <w:tc>
          <w:tcPr>
            <w:tcW w:type="dxa" w:w="8460"/>
            <w:tcBorders>
              <w:top w:val="single" w:color="CCCCCC" w:sz="4"/>
              <w:left w:val="single" w:color="CCCCCC" w:sz="4"/>
              <w:bottom w:val="single" w:color="CCCCCC" w:sz="4"/>
              <w:right w:val="single" w:color="CCCCCC" w:sz="4"/>
            </w:tcBorders>
            <w:shd w:fill="F2F2F2" w:val="clear"/>
            <w:tcMar>
              <w:top w:type="dxa" w:w="160"/>
              <w:left w:type="dxa" w:w="220"/>
              <w:bottom w:type="dxa" w:w="160"/>
              <w:right w:type="dxa" w:w="220"/>
            </w:tcMar>
            <w:vAlign w:val="center"/>
          </w:tcPr>
          <w:p>
            <w:r>
              <w:rPr>
                <w:rFonts w:ascii="Arial" w:cs="Arial" w:eastAsia="Arial" w:hAnsi="Arial"/>
                <w:b/>
                <w:bCs/>
                <w:color w:val="1A1A1A"/>
                <w:sz w:val="24"/>
                <w:szCs w:val="24"/>
              </w:rPr>
              <w:t xml:space="preserve">Data Ingestion &amp; Cross-Platform Unification</w:t>
            </w:r>
          </w:p>
        </w:tc>
      </w:tr>
      <w:tr>
        <w:tc>
          <w:tcPr>
            <w:tcW w:type="dxa" w:w="9360"/>
            <w:gridSpan w:val="2"/>
            <w:tcBorders>
              <w:top w:val="single" w:color="CCCCCC" w:sz="4"/>
              <w:left w:val="single" w:color="CCCCCC" w:sz="4"/>
              <w:bottom w:val="single" w:color="CCCCCC" w:sz="4"/>
              <w:right w:val="single" w:color="CCCCCC" w:sz="4"/>
            </w:tcBorders>
            <w:tcMar>
              <w:top w:type="dxa" w:w="200"/>
              <w:left w:type="dxa" w:w="240"/>
              <w:bottom w:type="dxa" w:w="200"/>
              <w:right w:type="dxa" w:w="240"/>
            </w:tcMar>
          </w:tcPr>
          <w:p>
            <w:pPr>
              <w:spacing w:after="100"/>
            </w:pPr>
            <w:r>
              <w:rPr>
                <w:rFonts w:ascii="Arial" w:cs="Arial" w:eastAsia="Arial" w:hAnsi="Arial"/>
                <w:i/>
                <w:iCs/>
                <w:color w:val="6B6B6B"/>
                <w:sz w:val="22"/>
                <w:szCs w:val="22"/>
              </w:rPr>
              <w:t xml:space="preserve">Show us your prototype actually pulling in fragmented ad data from multiple platforms — not a diagram of how it would.</w:t>
            </w:r>
          </w:p>
          <w:p>
            <w:pPr>
              <w:spacing w:after="60"/>
            </w:pPr>
            <w:r>
              <w:rPr>
                <w:rFonts w:ascii="Arial" w:cs="Arial" w:eastAsia="Arial" w:hAnsi="Arial"/>
                <w:b/>
                <w:bCs/>
                <w:color w:val="1A1A1A"/>
                <w:sz w:val="20"/>
                <w:szCs w:val="20"/>
              </w:rPr>
              <w:t xml:space="preserve">Build &amp; show:</w:t>
            </w:r>
          </w:p>
          <w:p>
            <w:pPr>
              <w:pStyle w:val="ListParagraph"/>
              <w:numPr>
                <w:ilvl w:val="0"/>
                <w:numId w:val="2"/>
              </w:numPr>
              <w:spacing w:after="40"/>
            </w:pPr>
            <w:r>
              <w:rPr>
                <w:rFonts w:ascii="Arial" w:cs="Arial" w:eastAsia="Arial" w:hAnsi="Arial"/>
                <w:color w:val="1A1A1A"/>
                <w:sz w:val="22"/>
                <w:szCs w:val="22"/>
              </w:rPr>
              <w:t xml:space="preserve">A working ingestion path from at least two mock ad platform exports (Meta-style + Google Ads-style)</w:t>
            </w:r>
          </w:p>
          <w:p>
            <w:pPr>
              <w:pStyle w:val="ListParagraph"/>
              <w:numPr>
                <w:ilvl w:val="0"/>
                <w:numId w:val="2"/>
              </w:numPr>
              <w:spacing w:after="40"/>
            </w:pPr>
            <w:r>
              <w:rPr>
                <w:rFonts w:ascii="Arial" w:cs="Arial" w:eastAsia="Arial" w:hAnsi="Arial"/>
                <w:color w:val="1A1A1A"/>
                <w:sz w:val="22"/>
                <w:szCs w:val="22"/>
              </w:rPr>
              <w:t xml:space="preserve">Live SKU reconciliation across mismatched IDs — show what your system does when keys don't match</w:t>
            </w:r>
          </w:p>
          <w:p>
            <w:pPr>
              <w:pStyle w:val="ListParagraph"/>
              <w:numPr>
                <w:ilvl w:val="0"/>
                <w:numId w:val="2"/>
              </w:numPr>
              <w:spacing w:after="40"/>
            </w:pPr>
            <w:r>
              <w:rPr>
                <w:rFonts w:ascii="Arial" w:cs="Arial" w:eastAsia="Arial" w:hAnsi="Arial"/>
                <w:color w:val="1A1A1A"/>
                <w:sz w:val="22"/>
                <w:szCs w:val="22"/>
              </w:rPr>
              <w:t xml:space="preserve">Handling of missing data, inconsistent date ranges, or attribution conflicts — surface what got flagged or imputed</w:t>
            </w:r>
          </w:p>
        </w:tc>
      </w:tr>
    </w:tbl>
    <w:p>
      <w:pPr>
        <w:spacing w:after="1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4"/>
              <w:left w:val="single" w:color="CCCCCC" w:sz="4"/>
              <w:bottom w:val="single" w:color="CCCCCC" w:sz="4"/>
              <w:right w:val="single" w:color="CCCCCC" w:sz="4"/>
            </w:tcBorders>
            <w:shd w:fill="1A1A1A" w:val="clear"/>
            <w:tcMar>
              <w:top w:type="dxa" w:w="160"/>
              <w:left w:type="dxa" w:w="160"/>
              <w:bottom w:type="dxa" w:w="160"/>
              <w:right w:type="dxa" w:w="160"/>
            </w:tcMar>
            <w:vAlign w:val="center"/>
          </w:tcPr>
          <w:p>
            <w:pPr>
              <w:jc w:val="center"/>
            </w:pPr>
            <w:r>
              <w:rPr>
                <w:rFonts w:ascii="Arial" w:cs="Arial" w:eastAsia="Arial" w:hAnsi="Arial"/>
                <w:b/>
                <w:bCs/>
                <w:color w:val="FFFFFF"/>
                <w:sz w:val="26"/>
                <w:szCs w:val="26"/>
              </w:rPr>
              <w:t xml:space="preserve">M2</w:t>
            </w:r>
          </w:p>
        </w:tc>
        <w:tc>
          <w:tcPr>
            <w:tcW w:type="dxa" w:w="8460"/>
            <w:tcBorders>
              <w:top w:val="single" w:color="CCCCCC" w:sz="4"/>
              <w:left w:val="single" w:color="CCCCCC" w:sz="4"/>
              <w:bottom w:val="single" w:color="CCCCCC" w:sz="4"/>
              <w:right w:val="single" w:color="CCCCCC" w:sz="4"/>
            </w:tcBorders>
            <w:shd w:fill="F2F2F2" w:val="clear"/>
            <w:tcMar>
              <w:top w:type="dxa" w:w="160"/>
              <w:left w:type="dxa" w:w="220"/>
              <w:bottom w:type="dxa" w:w="160"/>
              <w:right w:type="dxa" w:w="220"/>
            </w:tcMar>
            <w:vAlign w:val="center"/>
          </w:tcPr>
          <w:p>
            <w:r>
              <w:rPr>
                <w:rFonts w:ascii="Arial" w:cs="Arial" w:eastAsia="Arial" w:hAnsi="Arial"/>
                <w:b/>
                <w:bCs/>
                <w:color w:val="1A1A1A"/>
                <w:sz w:val="24"/>
                <w:szCs w:val="24"/>
              </w:rPr>
              <w:t xml:space="preserve">AI Performance Forecasting Engine</w:t>
            </w:r>
          </w:p>
        </w:tc>
      </w:tr>
      <w:tr>
        <w:tc>
          <w:tcPr>
            <w:tcW w:type="dxa" w:w="9360"/>
            <w:gridSpan w:val="2"/>
            <w:tcBorders>
              <w:top w:val="single" w:color="CCCCCC" w:sz="4"/>
              <w:left w:val="single" w:color="CCCCCC" w:sz="4"/>
              <w:bottom w:val="single" w:color="CCCCCC" w:sz="4"/>
              <w:right w:val="single" w:color="CCCCCC" w:sz="4"/>
            </w:tcBorders>
            <w:tcMar>
              <w:top w:type="dxa" w:w="200"/>
              <w:left w:type="dxa" w:w="240"/>
              <w:bottom w:type="dxa" w:w="200"/>
              <w:right w:type="dxa" w:w="240"/>
            </w:tcMar>
          </w:tcPr>
          <w:p>
            <w:pPr>
              <w:spacing w:after="100"/>
            </w:pPr>
            <w:r>
              <w:rPr>
                <w:rFonts w:ascii="Arial" w:cs="Arial" w:eastAsia="Arial" w:hAnsi="Arial"/>
                <w:i/>
                <w:iCs/>
                <w:color w:val="6B6B6B"/>
                <w:sz w:val="22"/>
                <w:szCs w:val="22"/>
              </w:rPr>
              <w:t xml:space="preserve">Show a real forecast on real (or realistic synthetic) ad data. We want to see model choice, not just hear it.</w:t>
            </w:r>
          </w:p>
          <w:p>
            <w:pPr>
              <w:spacing w:after="60"/>
            </w:pPr>
            <w:r>
              <w:rPr>
                <w:rFonts w:ascii="Arial" w:cs="Arial" w:eastAsia="Arial" w:hAnsi="Arial"/>
                <w:b/>
                <w:bCs/>
                <w:color w:val="1A1A1A"/>
                <w:sz w:val="20"/>
                <w:szCs w:val="20"/>
              </w:rPr>
              <w:t xml:space="preserve">Build &amp; show:</w:t>
            </w:r>
          </w:p>
          <w:p>
            <w:pPr>
              <w:pStyle w:val="ListParagraph"/>
              <w:numPr>
                <w:ilvl w:val="0"/>
                <w:numId w:val="2"/>
              </w:numPr>
              <w:spacing w:after="40"/>
            </w:pPr>
            <w:r>
              <w:rPr>
                <w:rFonts w:ascii="Arial" w:cs="Arial" w:eastAsia="Arial" w:hAnsi="Arial"/>
                <w:color w:val="1A1A1A"/>
                <w:sz w:val="22"/>
                <w:szCs w:val="22"/>
              </w:rPr>
              <w:t xml:space="preserve">A performance forecast for your sample campaign set, generated by your chosen model(s) — name them</w:t>
            </w:r>
          </w:p>
          <w:p>
            <w:pPr>
              <w:pStyle w:val="ListParagraph"/>
              <w:numPr>
                <w:ilvl w:val="0"/>
                <w:numId w:val="2"/>
              </w:numPr>
              <w:spacing w:after="40"/>
            </w:pPr>
            <w:r>
              <w:rPr>
                <w:rFonts w:ascii="Arial" w:cs="Arial" w:eastAsia="Arial" w:hAnsi="Arial"/>
                <w:color w:val="1A1A1A"/>
                <w:sz w:val="22"/>
                <w:szCs w:val="22"/>
              </w:rPr>
              <w:t xml:space="preserve">Per-channel forecasts (Meta vs Google vs Amazon) — show how the signal and spend-response curves differ</w:t>
            </w:r>
          </w:p>
          <w:p>
            <w:pPr>
              <w:pStyle w:val="ListParagraph"/>
              <w:numPr>
                <w:ilvl w:val="0"/>
                <w:numId w:val="2"/>
              </w:numPr>
              <w:spacing w:after="40"/>
            </w:pPr>
            <w:r>
              <w:rPr>
                <w:rFonts w:ascii="Arial" w:cs="Arial" w:eastAsia="Arial" w:hAnsi="Arial"/>
                <w:color w:val="1A1A1A"/>
                <w:sz w:val="22"/>
                <w:szCs w:val="22"/>
              </w:rPr>
              <w:t xml:space="preserve">Confidence intervals or accuracy metrics — show us how much to trust the output</w:t>
            </w:r>
          </w:p>
          <w:p>
            <w:pPr>
              <w:pStyle w:val="ListParagraph"/>
              <w:numPr>
                <w:ilvl w:val="0"/>
                <w:numId w:val="2"/>
              </w:numPr>
              <w:spacing w:after="40"/>
            </w:pPr>
            <w:r>
              <w:rPr>
                <w:rFonts w:ascii="Arial" w:cs="Arial" w:eastAsia="Arial" w:hAnsi="Arial"/>
                <w:color w:val="1A1A1A"/>
                <w:sz w:val="22"/>
                <w:szCs w:val="22"/>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4"/>
              <w:left w:val="single" w:color="CCCCCC" w:sz="4"/>
              <w:bottom w:val="single" w:color="CCCCCC" w:sz="4"/>
              <w:right w:val="single" w:color="CCCCCC" w:sz="4"/>
            </w:tcBorders>
            <w:shd w:fill="1A1A1A" w:val="clear"/>
            <w:tcMar>
              <w:top w:type="dxa" w:w="160"/>
              <w:left w:type="dxa" w:w="160"/>
              <w:bottom w:type="dxa" w:w="160"/>
              <w:right w:type="dxa" w:w="160"/>
            </w:tcMar>
            <w:vAlign w:val="center"/>
          </w:tcPr>
          <w:p>
            <w:pPr>
              <w:jc w:val="center"/>
            </w:pPr>
            <w:r>
              <w:rPr>
                <w:rFonts w:ascii="Arial" w:cs="Arial" w:eastAsia="Arial" w:hAnsi="Arial"/>
                <w:b/>
                <w:bCs/>
                <w:color w:val="FFFFFF"/>
                <w:sz w:val="26"/>
                <w:szCs w:val="26"/>
              </w:rPr>
              <w:t xml:space="preserve">M3</w:t>
            </w:r>
          </w:p>
        </w:tc>
        <w:tc>
          <w:tcPr>
            <w:tcW w:type="dxa" w:w="8460"/>
            <w:tcBorders>
              <w:top w:val="single" w:color="CCCCCC" w:sz="4"/>
              <w:left w:val="single" w:color="CCCCCC" w:sz="4"/>
              <w:bottom w:val="single" w:color="CCCCCC" w:sz="4"/>
              <w:right w:val="single" w:color="CCCCCC" w:sz="4"/>
            </w:tcBorders>
            <w:shd w:fill="F2F2F2" w:val="clear"/>
            <w:tcMar>
              <w:top w:type="dxa" w:w="160"/>
              <w:left w:type="dxa" w:w="220"/>
              <w:bottom w:type="dxa" w:w="160"/>
              <w:right w:type="dxa" w:w="220"/>
            </w:tcMar>
            <w:vAlign w:val="center"/>
          </w:tcPr>
          <w:p>
            <w:r>
              <w:rPr>
                <w:rFonts w:ascii="Arial" w:cs="Arial" w:eastAsia="Arial" w:hAnsi="Arial"/>
                <w:b/>
                <w:bCs/>
                <w:color w:val="1A1A1A"/>
                <w:sz w:val="24"/>
                <w:szCs w:val="24"/>
              </w:rPr>
              <w:t xml:space="preserve">Budget Allocation &amp; Execution Automation</w:t>
            </w:r>
          </w:p>
        </w:tc>
      </w:tr>
      <w:tr>
        <w:tc>
          <w:tcPr>
            <w:tcW w:type="dxa" w:w="9360"/>
            <w:gridSpan w:val="2"/>
            <w:tcBorders>
              <w:top w:val="single" w:color="CCCCCC" w:sz="4"/>
              <w:left w:val="single" w:color="CCCCCC" w:sz="4"/>
              <w:bottom w:val="single" w:color="CCCCCC" w:sz="4"/>
              <w:right w:val="single" w:color="CCCCCC" w:sz="4"/>
            </w:tcBorders>
            <w:tcMar>
              <w:top w:type="dxa" w:w="200"/>
              <w:left w:type="dxa" w:w="240"/>
              <w:bottom w:type="dxa" w:w="200"/>
              <w:right w:type="dxa" w:w="240"/>
            </w:tcMar>
          </w:tcPr>
          <w:p>
            <w:pPr>
              <w:spacing w:after="100"/>
            </w:pPr>
            <w:r>
              <w:rPr>
                <w:rFonts w:ascii="Arial" w:cs="Arial" w:eastAsia="Arial" w:hAnsi="Arial"/>
                <w:i/>
                <w:iCs/>
                <w:color w:val="6B6B6B"/>
                <w:sz w:val="22"/>
                <w:szCs w:val="22"/>
              </w:rPr>
              <w:t xml:space="preserve">Show the path from forecast → recommended budget shift → execution plan. API calls can be stubbed, but the optimization logic must be live.</w:t>
            </w:r>
          </w:p>
          <w:p>
            <w:pPr>
              <w:spacing w:after="60"/>
            </w:pPr>
            <w:r>
              <w:rPr>
                <w:rFonts w:ascii="Arial" w:cs="Arial" w:eastAsia="Arial" w:hAnsi="Arial"/>
                <w:b/>
                <w:bCs/>
                <w:color w:val="1A1A1A"/>
                <w:sz w:val="20"/>
                <w:szCs w:val="20"/>
              </w:rPr>
              <w:t xml:space="preserve">Build &amp; show:</w:t>
            </w:r>
          </w:p>
          <w:p>
            <w:pPr>
              <w:pStyle w:val="ListParagraph"/>
              <w:numPr>
                <w:ilvl w:val="0"/>
                <w:numId w:val="2"/>
              </w:numPr>
              <w:spacing w:after="40"/>
            </w:pPr>
            <w:r>
              <w:rPr>
                <w:rFonts w:ascii="Arial" w:cs="Arial" w:eastAsia="Arial" w:hAnsi="Arial"/>
                <w:color w:val="1A1A1A"/>
                <w:sz w:val="22"/>
                <w:szCs w:val="22"/>
              </w:rPr>
              <w:t xml:space="preserve">A runnable budget reallocation recommendation across at least two platforms, with all inputs visible (forecast, current spend, efficiency curve, constraints)</w:t>
            </w:r>
          </w:p>
          <w:p>
            <w:pPr>
              <w:pStyle w:val="ListParagraph"/>
              <w:numPr>
                <w:ilvl w:val="0"/>
                <w:numId w:val="2"/>
              </w:numPr>
              <w:spacing w:after="40"/>
            </w:pPr>
            <w:r>
              <w:rPr>
                <w:rFonts w:ascii="Arial" w:cs="Arial" w:eastAsia="Arial" w:hAnsi="Arial"/>
                <w:color w:val="1A1A1A"/>
                <w:sz w:val="22"/>
                <w:szCs w:val="22"/>
              </w:rPr>
              <w:t xml:space="preserve">Diminishing returns detection — show what your system does when marginal ROAS drops below threshold on a channel</w:t>
            </w:r>
          </w:p>
          <w:p>
            <w:pPr>
              <w:pStyle w:val="ListParagraph"/>
              <w:numPr>
                <w:ilvl w:val="0"/>
                <w:numId w:val="2"/>
              </w:numPr>
              <w:spacing w:after="40"/>
            </w:pPr>
            <w:r>
              <w:rPr>
                <w:rFonts w:ascii="Arial" w:cs="Arial" w:eastAsia="Arial" w:hAnsi="Arial"/>
                <w:color w:val="1A1A1A"/>
                <w:sz w:val="22"/>
                <w:szCs w:val="22"/>
              </w:rPr>
              <w:t xml:space="preserve">Marketer-facing approval view — humans must be able to review recommendations, adjust constraints, and approve or reject before execution</w:t>
            </w:r>
          </w:p>
          <w:p>
            <w:pPr>
              <w:pStyle w:val="ListParagraph"/>
              <w:numPr>
                <w:ilvl w:val="0"/>
                <w:numId w:val="2"/>
              </w:numPr>
              <w:spacing w:after="40"/>
            </w:pPr>
            <w:r>
              <w:rPr>
                <w:rFonts w:ascii="Arial" w:cs="Arial" w:eastAsia="Arial" w:hAnsi="Arial"/>
                <w:color w:val="1A1A1A"/>
                <w:sz w:val="22"/>
                <w:szCs w:val="22"/>
              </w:rPr>
              <w:t xml:space="preserve"/>
            </w:r>
          </w:p>
        </w:tc>
      </w:tr>
    </w:tbl>
    <w:p>
      <w:pPr>
        <w:spacing w:after="160" w:before="360"/>
      </w:pPr>
      <w:r>
        <w:rPr>
          <w:rFonts w:ascii="Arial" w:cs="Arial" w:eastAsia="Arial" w:hAnsi="Arial"/>
          <w:b/>
          <w:bCs/>
          <w:color w:val="0F4C81"/>
          <w:sz w:val="28"/>
          <w:szCs w:val="28"/>
        </w:rPr>
        <w:t xml:space="preserve">3.  </w:t>
      </w:r>
      <w:r>
        <w:rPr>
          <w:rFonts w:ascii="Arial" w:cs="Arial" w:eastAsia="Arial" w:hAnsi="Arial"/>
          <w:b/>
          <w:bCs/>
          <w:color w:val="1A1A1A"/>
          <w:sz w:val="28"/>
          <w:szCs w:val="28"/>
        </w:rPr>
        <w:t xml:space="preserve">How You'll Be Evaluated</w:t>
      </w:r>
    </w:p>
    <w:p>
      <w:pPr>
        <w:spacing w:after="140" w:before="0"/>
      </w:pPr>
      <w:r>
        <w:rPr>
          <w:rFonts w:ascii="Arial" w:cs="Arial" w:eastAsia="Arial" w:hAnsi="Arial"/>
          <w:b w:val="false"/>
          <w:bCs w:val="false"/>
          <w:i/>
          <w:iCs/>
          <w:color w:val="6B6B6B"/>
          <w:sz w:val="22"/>
          <w:szCs w:val="22"/>
        </w:rPr>
        <w:t xml:space="preserve">Three skills, weighted roughly equally: how you think, how you build, how you communicate.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Thinking (slides)</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Can you compress an ambiguous brief into 3–5 slides that frame the business problem, the system, and the trade-offs for an executive?</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Building (prototype)</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Does it run? End-to-end, live, in 15 minutes. A broken demo with great theory loses to a narrow demo that ships.</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Communicating (all 30 min)</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Can you switch registers — executive on slides, builder in the walkthrough, sharp under Q&amp;A — without losing the thread?</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AI-leveraged workflow</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We expect you used Claude Code, Cursor, v0, or similar. Show us how — which tools, which prompts, where you intervened, what you rejected.</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Depth &amp; specificity</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Name the exact tools and models in your stack — and defend them under questioning. Generic answers score poorly.</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Business judgment</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Every technical decision should connect back to DIO, stockout losses, or fulfillment cost. We'll ask you to map it.</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Code quality</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We will look at your repo. We're not grading style — we're grading whether you actually built it and whether we'd trust you to keep building.</w:t>
            </w:r>
          </w:p>
        </w:tc>
      </w:tr>
    </w:tbl>
    <w:p>
      <w:pPr>
        <w:spacing w:after="200" w:before="0"/>
      </w:pPr>
      <w:r>
        <w:rPr>
          <w:rFonts w:ascii="Arial" w:cs="Arial" w:eastAsia="Arial" w:hAnsi="Arial"/>
        </w:rPr>
        <w:t xml:space="preserve"/>
      </w:r>
    </w:p>
    <w:p>
      <w:pPr>
        <w:spacing w:after="160" w:before="360"/>
      </w:pPr>
      <w:r>
        <w:rPr>
          <w:rFonts w:ascii="Arial" w:cs="Arial" w:eastAsia="Arial" w:hAnsi="Arial"/>
          <w:b/>
          <w:bCs/>
          <w:color w:val="0F4C81"/>
          <w:sz w:val="28"/>
          <w:szCs w:val="28"/>
        </w:rPr>
        <w:t xml:space="preserve">4.  </w:t>
      </w:r>
      <w:r>
        <w:rPr>
          <w:rFonts w:ascii="Arial" w:cs="Arial" w:eastAsia="Arial" w:hAnsi="Arial"/>
          <w:b/>
          <w:bCs/>
          <w:color w:val="1A1A1A"/>
          <w:sz w:val="28"/>
          <w:szCs w:val="28"/>
        </w:rPr>
        <w:t xml:space="preserve">Business Context</w:t>
      </w:r>
    </w:p>
    <w:p>
      <w:pPr>
        <w:spacing w:after="100" w:before="220"/>
      </w:pPr>
      <w:r>
        <w:rPr>
          <w:rFonts w:ascii="Arial" w:cs="Arial" w:eastAsia="Arial" w:hAnsi="Arial"/>
          <w:b/>
          <w:bCs/>
          <w:color w:val="1A1A1A"/>
          <w:sz w:val="24"/>
          <w:szCs w:val="24"/>
        </w:rPr>
        <w:t xml:space="preserve">The Brand</w:t>
      </w:r>
    </w:p>
    <w:p>
      <w:pPr>
        <w:spacing w:after="140" w:before="0"/>
      </w:pPr>
      <w:r>
        <w:rPr>
          <w:rFonts w:ascii="Arial" w:cs="Arial" w:eastAsia="Arial" w:hAnsi="Arial"/>
          <w:b w:val="false"/>
          <w:bCs w:val="false"/>
          <w:i w:val="false"/>
          <w:iCs w:val="false"/>
          <w:color w:val="1A1A1A"/>
          <w:sz w:val="22"/>
          <w:szCs w:val="22"/>
        </w:rPr>
        <w:t xml:space="preserve">True Classic is a global direct-to-consumer apparel brand (DTC + wholesale) — basics for men, women, and kids. 190+ countries. Millions in annual ad spend across multiple platforms. The paid media operation drives the majority of DTC revenue and is the single largest controllable cost lever in the business.</w:t>
      </w:r>
    </w:p>
    <w:p>
      <w:pPr>
        <w:spacing w:after="100" w:before="220"/>
      </w:pPr>
      <w:r>
        <w:rPr>
          <w:rFonts w:ascii="Arial" w:cs="Arial" w:eastAsia="Arial" w:hAnsi="Arial"/>
          <w:b/>
          <w:bCs/>
          <w:color w:val="1A1A1A"/>
          <w:sz w:val="24"/>
          <w:szCs w:val="24"/>
        </w:rPr>
        <w:t xml:space="preserve">Paid Media Channels</w:t>
      </w:r>
    </w:p>
    <w:p>
      <w:pPr>
        <w:spacing w:after="140" w:before="0"/>
      </w:pPr>
      <w:r>
        <w:rPr>
          <w:rFonts w:ascii="Arial" w:cs="Arial" w:eastAsia="Arial" w:hAnsi="Arial"/>
          <w:b/>
          <w:bCs/>
          <w:i w:val="false"/>
          <w:iCs w:val="false"/>
          <w:color w:val="1A1A1A"/>
          <w:sz w:val="22"/>
          <w:szCs w:val="22"/>
        </w:rPr>
        <w:t xml:space="preserve">Meta Ads </w:t>
      </w:r>
      <w:r>
        <w:rPr>
          <w:rFonts w:ascii="Arial" w:cs="Arial" w:eastAsia="Arial" w:hAnsi="Arial"/>
          <w:bCs/>
          <w:i w:val="false"/>
          <w:iCs w:val="false"/>
          <w:color w:val="1A1A1A"/>
          <w:sz w:val="22"/>
          <w:szCs w:val="22"/>
        </w:rPr>
        <w:t xml:space="preserve">(Facebook + Instagram) — largest spend. Prospecting, retargeting, and dynamic product ads. Campaign Budget Optimization (CBO) and ad-set level budgets in use.</w:t>
      </w:r>
    </w:p>
    <w:p>
      <w:pPr>
        <w:spacing w:after="140" w:before="0"/>
      </w:pPr>
      <w:r>
        <w:rPr>
          <w:rFonts w:ascii="Arial" w:cs="Arial" w:eastAsia="Arial" w:hAnsi="Arial"/>
          <w:b/>
          <w:bCs/>
          <w:i w:val="false"/>
          <w:iCs w:val="false"/>
          <w:color w:val="1A1A1A"/>
          <w:sz w:val="22"/>
          <w:szCs w:val="22"/>
        </w:rPr>
        <w:t xml:space="preserve">Google Ads </w:t>
      </w:r>
      <w:r>
        <w:rPr>
          <w:rFonts w:ascii="Arial" w:cs="Arial" w:eastAsia="Arial" w:hAnsi="Arial"/>
          <w:bCs/>
          <w:i w:val="false"/>
          <w:iCs w:val="false"/>
          <w:color w:val="1A1A1A"/>
          <w:sz w:val="22"/>
          <w:szCs w:val="22"/>
        </w:rPr>
        <w:t xml:space="preserve">— Search, Shopping/PMax, YouTube, Display, Demand Gen. Mixed bidding strategies (tROAS, tCPA, manual). Multiple campaign types with different attribution models.</w:t>
      </w:r>
    </w:p>
    <w:p>
      <w:pPr>
        <w:spacing w:after="140" w:before="0"/>
      </w:pPr>
      <w:r>
        <w:rPr>
          <w:rFonts w:ascii="Arial" w:cs="Arial" w:eastAsia="Arial" w:hAnsi="Arial"/>
          <w:b/>
          <w:bCs/>
          <w:i w:val="false"/>
          <w:iCs w:val="false"/>
          <w:color w:val="1A1A1A"/>
          <w:sz w:val="22"/>
          <w:szCs w:val="22"/>
        </w:rPr>
        <w:t xml:space="preserve">Amazon Advertising </w:t>
      </w:r>
      <w:r>
        <w:rPr>
          <w:rFonts w:ascii="Arial" w:cs="Arial" w:eastAsia="Arial" w:hAnsi="Arial"/>
          <w:bCs/>
          <w:i w:val="false"/>
          <w:iCs w:val="false"/>
          <w:color w:val="1A1A1A"/>
          <w:sz w:val="22"/>
          <w:szCs w:val="22"/>
        </w:rPr>
        <w:t xml:space="preserve">— Sponsored Products, Sponsored Brands, Sponsored Display. Separate auction, separate attribution, separate reporting cadence. TACOS is the key efficiency metric.</w:t>
      </w:r>
    </w:p>
    <w:p>
      <w:pPr>
        <w:spacing w:after="140" w:before="0"/>
      </w:pPr>
      <w:r>
        <w:rPr>
          <w:rFonts w:ascii="Arial" w:cs="Arial" w:eastAsia="Arial" w:hAnsi="Arial"/>
          <w:b/>
          <w:bCs/>
          <w:i w:val="false"/>
          <w:iCs w:val="false"/>
          <w:color w:val="1A1A1A"/>
          <w:sz w:val="22"/>
          <w:szCs w:val="22"/>
        </w:rPr>
        <w:t xml:space="preserve">Microsoft Advertising </w:t>
      </w:r>
      <w:r>
        <w:rPr>
          <w:rFonts w:ascii="Arial" w:cs="Arial" w:eastAsia="Arial" w:hAnsi="Arial"/>
          <w:bCs/>
          <w:i w:val="false"/>
          <w:iCs w:val="false"/>
          <w:color w:val="1A1A1A"/>
          <w:sz w:val="22"/>
          <w:szCs w:val="22"/>
        </w:rPr>
        <w:t xml:space="preserve">— Search + Shopping. Smaller spend, different audience demographics. Often managed as a Google mirror but performs differently.</w:t>
      </w:r>
    </w:p>
    <w:p>
      <w:pPr>
        <w:spacing w:after="100" w:before="220"/>
      </w:pPr>
      <w:r>
        <w:rPr>
          <w:rFonts w:ascii="Arial" w:cs="Arial" w:eastAsia="Arial" w:hAnsi="Arial"/>
          <w:b/>
          <w:bCs/>
          <w:color w:val="1A1A1A"/>
          <w:sz w:val="24"/>
          <w:szCs w:val="24"/>
        </w:rPr>
        <w:t xml:space="preserve">The Complexity — and Why It’s Hard</w:t>
      </w:r>
    </w:p>
    <w:p>
      <w:pPr>
        <w:spacing w:after="180" w:before="0"/>
      </w:pPr>
      <w:r>
        <w:rPr>
          <w:rFonts w:ascii="Arial" w:cs="Arial" w:eastAsia="Arial" w:hAnsi="Arial"/>
          <w:b/>
          <w:bCs/>
          <w:i w:val="false"/>
          <w:iCs w:val="false"/>
          <w:color w:val="1A1A1A"/>
          <w:sz w:val="22"/>
          <w:szCs w:val="22"/>
        </w:rPr>
        <w:t xml:space="preserve">Attribution chaos: </w:t>
      </w:r>
      <w:r>
        <w:rPr>
          <w:rFonts w:ascii="Arial" w:cs="Arial" w:eastAsia="Arial" w:hAnsi="Arial"/>
          <w:b w:val="false"/>
          <w:bCs w:val="false"/>
          <w:i w:val="false"/>
          <w:iCs w:val="false"/>
          <w:color w:val="1A1A1A"/>
          <w:sz w:val="22"/>
          <w:szCs w:val="22"/>
        </w:rPr>
        <w:t xml:space="preserve">Meta uses 7-day click / 1-day view. Google uses data-driven or last-click depending on campaign type. Amazon is last-touch within its walled garden. Hundreds of campaigns × multiple objectives × dozens of audiences × daily budget decisions = thousands of optimization levers. Your prototype doesn’t need to handle all of it — but your architecture should explain how it would.</w:t>
      </w:r>
    </w:p>
    <w:p>
      <w:pPr>
        <w:spacing w:after="100" w:before="220"/>
      </w:pPr>
      <w:r>
        <w:rPr>
          <w:rFonts w:ascii="Arial" w:cs="Arial" w:eastAsia="Arial" w:hAnsi="Arial"/>
          <w:b/>
          <w:bCs/>
          <w:color w:val="1A1A1A"/>
          <w:sz w:val="24"/>
          <w:szCs w:val="24"/>
        </w:rPr>
        <w:t xml:space="preserve">The Data Reality — Assume Nothing Is Clean</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Meta Marketing API</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Campaign, ad set, and ad-level performance. 7-day click / 1-day view attribution. Breakdowns by age, gender, placement, device. Frequent metric definition changes.</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Google Ads API</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Campaign, ad group, keyword, and asset-level reporting. Multiple attribution models in use simultaneously. Search terms ≠ keywords.</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Amazon Ads API</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Sponsored Products/Brands/Display reporting. 14-day attribution window. ASIN-level data. Separate organic vs paid sales.</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Microsoft Ads API</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Similar to Google but different auction dynamics. Audience network vs search breakdowns. Import campaigns diverge in performance.</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Shopify / GA4</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Revenue source of truth for DTC. New vs returning customer segmentation. UTM-based attribution that often disagrees with platform-reported numbers.</w:t>
            </w:r>
          </w:p>
        </w:tc>
      </w:tr>
    </w:tbl>
    <w:p>
      <w:pPr>
        <w:spacing w:after="100" w:before="220"/>
      </w:pPr>
      <w:r>
        <w:rPr>
          <w:rFonts w:ascii="Arial" w:cs="Arial" w:eastAsia="Arial" w:hAnsi="Arial"/>
          <w:b/>
          <w:bCs/>
          <w:color w:val="1A1A1A"/>
          <w:sz w:val="24"/>
          <w:szCs w:val="24"/>
        </w:rPr>
        <w:t xml:space="preserve">Tech Environment</w:t>
      </w:r>
    </w:p>
    <w:p>
      <w:pPr>
        <w:spacing w:after="4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Ad Platforms</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Meta Marketing API, Google Ads API, Amazon Advertising API, Microsoft Advertising API. Each with its own auth, rate limits, and data schemas.</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Analytics</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GA4 for web analytics. Looker for internal BI. Northbeam / Triple Whale for cross-platform attribution (optional context).</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Cloud / ML</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No constraint. Build with what you’d actually pick on day one.</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LLMs</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Use where they add real value. Name the model, show it running, and explain how you’d control hallucination risk in production.</w:t>
            </w:r>
          </w:p>
        </w:tc>
      </w:tr>
      <w:tr>
        <w:tc>
          <w:tcPr>
            <w:tcW w:type="dxa" w:w="2600"/>
            <w:tcBorders>
              <w:top w:val="single" w:color="CCCCCC" w:sz="4"/>
              <w:left w:val="single" w:color="CCCCCC" w:sz="4"/>
              <w:bottom w:val="single" w:color="CCCCCC" w:sz="4"/>
              <w:right w:val="single" w:color="CCCCCC" w:sz="4"/>
            </w:tcBorders>
            <w:shd w:fill="F2F2F2" w:val="clear"/>
            <w:tcMar>
              <w:top w:type="dxa" w:w="140"/>
              <w:left w:type="dxa" w:w="200"/>
              <w:bottom w:type="dxa" w:w="140"/>
              <w:right w:type="dxa" w:w="200"/>
            </w:tcMar>
            <w:vAlign w:val="center"/>
          </w:tcPr>
          <w:p>
            <w:r>
              <w:rPr>
                <w:rFonts w:ascii="Arial" w:cs="Arial" w:eastAsia="Arial" w:hAnsi="Arial"/>
                <w:b/>
                <w:bCs/>
                <w:color w:val="1A1A1A"/>
                <w:sz w:val="22"/>
                <w:szCs w:val="22"/>
              </w:rPr>
              <w:t xml:space="preserve">BI</w:t>
            </w:r>
          </w:p>
        </w:tc>
        <w:tc>
          <w:tcPr>
            <w:tcW w:type="dxa" w:w="6760"/>
            <w:tcBorders>
              <w:top w:val="single" w:color="CCCCCC" w:sz="4"/>
              <w:left w:val="single" w:color="CCCCCC" w:sz="4"/>
              <w:bottom w:val="single" w:color="CCCCCC" w:sz="4"/>
              <w:right w:val="single" w:color="CCCCCC" w:sz="4"/>
            </w:tcBorders>
            <w:tcMar>
              <w:top w:type="dxa" w:w="140"/>
              <w:left w:type="dxa" w:w="200"/>
              <w:bottom w:type="dxa" w:w="140"/>
              <w:right w:type="dxa" w:w="200"/>
            </w:tcMar>
          </w:tcPr>
          <w:p>
            <w:r>
              <w:rPr>
                <w:rFonts w:ascii="Arial" w:cs="Arial" w:eastAsia="Arial" w:hAnsi="Arial"/>
                <w:color w:val="1A1A1A"/>
                <w:sz w:val="22"/>
                <w:szCs w:val="22"/>
              </w:rPr>
              <w:t xml:space="preserve">We use Looker internally.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4C81" w:sz="24" w:space="0"/>
              <w:bottom w:val="none" w:color="FFFFFF" w:sz="0"/>
              <w:right w:val="none" w:color="FFFFFF" w:sz="0"/>
            </w:tcBorders>
            <w:shd w:fill="F2F2F2" w:val="clear"/>
            <w:tcMar>
              <w:top w:type="dxa" w:w="200"/>
              <w:left w:type="dxa" w:w="280"/>
              <w:bottom w:type="dxa" w:w="200"/>
              <w:right w:type="dxa" w:w="280"/>
            </w:tcMar>
          </w:tcPr>
          <w:p>
            <w:pPr>
              <w:spacing w:after="80"/>
            </w:pPr>
            <w:r>
              <w:rPr>
                <w:rFonts w:ascii="Arial" w:cs="Arial" w:eastAsia="Arial" w:hAnsi="Arial"/>
                <w:b/>
                <w:bCs/>
                <w:i w:val="false"/>
                <w:iCs w:val="false"/>
                <w:color w:val="1A1A1A"/>
                <w:sz w:val="24"/>
                <w:szCs w:val="24"/>
              </w:rPr>
              <w:t xml:space="preserve">We're not looking for a perfect prototype or polished slides.</w:t>
            </w:r>
          </w:p>
          <w:p>
            <w:pPr>
              <w:spacing w:after="0"/>
            </w:pPr>
            <w:r>
              <w:rPr>
                <w:rFonts w:ascii="Arial" w:cs="Arial" w:eastAsia="Arial" w:hAnsi="Arial"/>
                <w:color w:val="1A1A1A"/>
                <w:sz w:val="22"/>
                <w:szCs w:val="22"/>
              </w:rPr>
              <w:t xml:space="preserve">We're looking for someone who can think clearly, build with AI, and communicate sharply — all in the same 30 minutes. The slides show us how you frame. The prototype shows us how you ship. The Q&amp;A shows us how you defend. We want all three.</w:t>
            </w:r>
          </w:p>
        </w:tc>
      </w:tr>
    </w:tbl>
    <w:p>
      <w:pPr>
        <w:spacing w:after="80" w:before="0"/>
        <w:jc w:val="center"/>
      </w:pPr>
      <w:r>
        <w:rPr>
          <w:rFonts w:ascii="Arial" w:cs="Arial" w:eastAsia="Arial" w:hAnsi="Arial"/>
          <w:b w:val="false"/>
          <w:bCs w:val="false"/>
          <w:i/>
          <w:iCs/>
          <w:color w:val="6B6B6B"/>
          <w:sz w:val="18"/>
          <w:szCs w:val="18"/>
        </w:rPr>
        <w:t xml:space="preserve">True Classic — Paid Media Intelligence &amp; Optimization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Solutions Architect — Candidate Exercise</dc:title>
  <dc:creator>True Classic</dc:creator>
  <cp:lastModifiedBy>Un-named</cp:lastModifiedBy>
  <cp:revision>1</cp:revision>
  <dcterms:created xsi:type="dcterms:W3CDTF">2026-05-26T22:02:50.320Z</dcterms:created>
  <dcterms:modified xsi:type="dcterms:W3CDTF">2026-05-26T22:02:50.335Z</dcterms:modified>
</cp:coreProperties>
</file>

<file path=docProps/custom.xml><?xml version="1.0" encoding="utf-8"?>
<Properties xmlns="http://schemas.openxmlformats.org/officeDocument/2006/custom-properties" xmlns:vt="http://schemas.openxmlformats.org/officeDocument/2006/docPropsVTypes"/>
</file>