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zfmqd4fbl17j" w:id="0"/>
      <w:bookmarkEnd w:id="0"/>
      <w:r w:rsidDel="00000000" w:rsidR="00000000" w:rsidRPr="00000000">
        <w:rPr>
          <w:rtl w:val="0"/>
        </w:rPr>
        <w:t xml:space="preserve">MODELOS MÚLTIPLOS PREDITIVOS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hyull9ewk38" w:id="1"/>
      <w:bookmarkEnd w:id="1"/>
      <w:r w:rsidDel="00000000" w:rsidR="00000000" w:rsidRPr="00000000">
        <w:rPr>
          <w:b w:val="1"/>
          <w:bCs w:val="1"/>
          <w:color w:val="000000"/>
          <w:sz w:val="26"/>
          <w:szCs w:val="26"/>
          <w:rtl w:val="0"/>
        </w:rPr>
        <w:t xml:space="preserve">Conceitos de Ensembles Clássicos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Bootstrap</w:t>
      </w:r>
      <w:r w:rsidDel="00000000" w:rsidR="00000000" w:rsidRPr="00000000">
        <w:rPr>
          <w:rtl w:val="0"/>
        </w:rPr>
        <w:t xml:space="preserve"> É uma técnica fundamental de reamostragem estatística que cria múltiplos subconjuntos de dados a partir de um dataset original realizando sorteios aleatórios com reposição. Na prática, isso significa que uma mesma amostra pode aparecer repetidas vezes em um novo subconjunto, o que permite aos cientistas de dados estimar a variabilidade e a incerteza de uma amostra, servindo como o alicerce matemático para diversos métodos avançados de aprendizado de máquina que dependem dessa diversidade de dados para treinar múltiplos modelos simultaneamente.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Bagging (Bootstrap Aggregating)</w:t>
      </w:r>
      <w:r w:rsidDel="00000000" w:rsidR="00000000" w:rsidRPr="00000000">
        <w:rPr>
          <w:rtl w:val="0"/>
        </w:rPr>
        <w:t xml:space="preserve"> Aproveitando a técnica de bootstrap, o bagging treina vários modelos preditivos de forma paralela e completamente independente — cada um em um subconjunto diferente de dados — e, ao final, agrega suas respostas por meio de votação majoritária (para classificação) ou média (para regressão). Essa abordagem é altamente eficaz para reduzir a variância e combater o </w:t>
      </w:r>
      <w:r w:rsidDel="00000000" w:rsidR="00000000" w:rsidRPr="00000000">
        <w:rPr>
          <w:i w:val="1"/>
          <w:iCs w:val="1"/>
          <w:rtl w:val="0"/>
        </w:rPr>
        <w:t xml:space="preserve">overfitting</w:t>
      </w:r>
      <w:r w:rsidDel="00000000" w:rsidR="00000000" w:rsidRPr="00000000">
        <w:rPr>
          <w:rtl w:val="0"/>
        </w:rPr>
        <w:t xml:space="preserve">, garantindo que a combinação de modelos inerentemente instáveis, como árvores de decisão profundas, resulte em uma predição final muito mais robusta e confiável do que qualquer modelo isolado.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Boosting</w:t>
      </w:r>
      <w:r w:rsidDel="00000000" w:rsidR="00000000" w:rsidRPr="00000000">
        <w:rPr>
          <w:rtl w:val="0"/>
        </w:rPr>
        <w:t xml:space="preserve"> Ao contrário da independência do bagging, o boosting é uma abordagem sequencial onde os modelos são criados em cadeia, com cada novo algoritmo sendo treinado especificamente para corrigir os erros cometidos pelos seus antecessores na linha de montagem. Essa técnica transforma um conjunto de preditores "fracos" em um modelo único e "forte", direcionando o foco do aprendizado progressivamente para as instâncias mais difíceis de classificar do conjunto de dados, o que reduz drasticamente o viés e aumenta a precisão geral, embora torne o sistema levemente mais vulnerável a ruídos.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AdaBoost (Adaptive Boosting)</w:t>
      </w:r>
      <w:r w:rsidDel="00000000" w:rsidR="00000000" w:rsidRPr="00000000">
        <w:rPr>
          <w:rtl w:val="0"/>
        </w:rPr>
        <w:t xml:space="preserve"> Como uma das implementações mais tradicionais e pioneiras do boosting, o AdaBoost ajusta dinamicamente os "pesos" dos dados de treinamento a cada iteração: instâncias classificadas incorretamente recebem pesos maiores, forçando o próximo modelo da sequência a focar atenção especial nelas. No momento da predição final, o "voto" de cada classificador individual também recebe um peso proporcional à sua taxa de acerto durante o treinamento, resultando em um algoritmo altamente eficiente que se adapta aos pontos cegos dos modelos anteriores para entregar resultados precisos.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fhdfonvhld5" w:id="2"/>
      <w:bookmarkEnd w:id="2"/>
      <w:r w:rsidDel="00000000" w:rsidR="00000000" w:rsidRPr="00000000">
        <w:rPr>
          <w:b w:val="1"/>
          <w:bCs w:val="1"/>
          <w:color w:val="000000"/>
          <w:sz w:val="26"/>
          <w:szCs w:val="26"/>
          <w:rtl w:val="0"/>
        </w:rPr>
        <w:t xml:space="preserve">Random Forest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Este método consiste em uma evolução direta e poderosa do bagging aplicada a árvores de decisão, que introduz uma dupla camada de aleatoriedade para garantir a máxima diversidade e estabilidade do sistema. Além de treinar cada árvore em uma amostra bootstrap diferente, o algoritmo sorteia apenas um subconjunto reduzido de atributos (variáveis) a cada divisão de nó da árvore, descorrelacionando a estrutura dos modelos e impedindo que características muito dominantes viciem a decisão geral. O resultado prático é um sistema de "votação" extremamente resistente ao </w:t>
      </w:r>
      <w:r w:rsidDel="00000000" w:rsidR="00000000" w:rsidRPr="00000000">
        <w:rPr>
          <w:i w:val="1"/>
          <w:iCs w:val="1"/>
          <w:rtl w:val="0"/>
        </w:rPr>
        <w:t xml:space="preserve">overfitting</w:t>
      </w:r>
      <w:r w:rsidDel="00000000" w:rsidR="00000000" w:rsidRPr="00000000">
        <w:rPr>
          <w:rtl w:val="0"/>
        </w:rPr>
        <w:t xml:space="preserve"> e que geralmente apresenta excelente desempenho logo na primeira execução, sem a necessidade de exaustivos ajustes de hiperparâmetros.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1doqysplyh7" w:id="3"/>
      <w:bookmarkEnd w:id="3"/>
      <w:r w:rsidDel="00000000" w:rsidR="00000000" w:rsidRPr="00000000">
        <w:rPr>
          <w:b w:val="1"/>
          <w:bCs w:val="1"/>
          <w:color w:val="000000"/>
          <w:sz w:val="26"/>
          <w:szCs w:val="26"/>
          <w:rtl w:val="0"/>
        </w:rPr>
        <w:t xml:space="preserve">Stacking e Validação Cruzada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Stacking (Stacked Generalization)</w:t>
      </w:r>
      <w:r w:rsidDel="00000000" w:rsidR="00000000" w:rsidRPr="00000000">
        <w:rPr>
          <w:rtl w:val="0"/>
        </w:rPr>
        <w:t xml:space="preserve"> Diferente das técnicas de votação simples, o stacking é uma meta-estratégia de fusão que utiliza inteligência algorítmica para descobrir qual é a melhor forma de combinar as predições de múltiplos modelos-base de naturezas diversas (como misturar SVMs, KNNs e Random Forests). Nessa arquitetura, os modelos iniciais são treinados no conjunto de dados original, mas suas predições finais não são entregues diretamente como resultado; em vez disso, elas passam a atuar como novos atributos de entrada (</w:t>
      </w:r>
      <w:r w:rsidDel="00000000" w:rsidR="00000000" w:rsidRPr="00000000">
        <w:rPr>
          <w:i w:val="1"/>
          <w:iCs w:val="1"/>
          <w:rtl w:val="0"/>
        </w:rPr>
        <w:t xml:space="preserve">features</w:t>
      </w:r>
      <w:r w:rsidDel="00000000" w:rsidR="00000000" w:rsidRPr="00000000">
        <w:rPr>
          <w:rtl w:val="0"/>
        </w:rPr>
        <w:t xml:space="preserve">) para treinar um modelo de nível superior, conhecido como "meta-modelo", que aprende as forças e fraquezas de cada algoritmo da base.</w:t>
      </w:r>
    </w:p>
    <w:p w:rsidR="00000000" w:rsidDel="00000000" w:rsidP="00000000" w:rsidRDefault="00000000" w:rsidRPr="00000000" w14:paraId="0000000C">
      <w:pPr>
        <w:spacing w:after="240" w:before="240" w:lineRule="auto"/>
        <w:rPr/>
      </w:pPr>
      <w:r w:rsidDel="00000000" w:rsidR="00000000" w:rsidRPr="00000000">
        <w:rPr>
          <w:rtl w:val="0"/>
        </w:rPr>
        <w:t xml:space="preserve">Para que essa abordagem não caia na armadilha do </w:t>
      </w:r>
      <w:r w:rsidDel="00000000" w:rsidR="00000000" w:rsidRPr="00000000">
        <w:rPr>
          <w:i w:val="1"/>
          <w:iCs w:val="1"/>
          <w:rtl w:val="0"/>
        </w:rPr>
        <w:t xml:space="preserve">overfitting</w:t>
      </w:r>
      <w:r w:rsidDel="00000000" w:rsidR="00000000" w:rsidRPr="00000000">
        <w:rPr>
          <w:rtl w:val="0"/>
        </w:rPr>
        <w:t xml:space="preserve">, é obrigatório o uso da validação cruzada (</w:t>
      </w:r>
      <w:r w:rsidDel="00000000" w:rsidR="00000000" w:rsidRPr="00000000">
        <w:rPr>
          <w:i w:val="1"/>
          <w:iCs w:val="1"/>
          <w:rtl w:val="0"/>
        </w:rPr>
        <w:t xml:space="preserve">cross-validation</w:t>
      </w:r>
      <w:r w:rsidDel="00000000" w:rsidR="00000000" w:rsidRPr="00000000">
        <w:rPr>
          <w:rtl w:val="0"/>
        </w:rPr>
        <w:t xml:space="preserve">) durante a geração dessas novas entradas. Os dados são particionados em múltiplos blocos (</w:t>
      </w:r>
      <w:r w:rsidDel="00000000" w:rsidR="00000000" w:rsidRPr="00000000">
        <w:rPr>
          <w:i w:val="1"/>
          <w:iCs w:val="1"/>
          <w:rtl w:val="0"/>
        </w:rPr>
        <w:t xml:space="preserve">folds</w:t>
      </w:r>
      <w:r w:rsidDel="00000000" w:rsidR="00000000" w:rsidRPr="00000000">
        <w:rPr>
          <w:rtl w:val="0"/>
        </w:rPr>
        <w:t xml:space="preserve">), garantindo que as predições fornecidas ao meta-modelo sejam sempre derivadas de amostras "inéditas" (</w:t>
      </w:r>
      <w:r w:rsidDel="00000000" w:rsidR="00000000" w:rsidRPr="00000000">
        <w:rPr>
          <w:i w:val="1"/>
          <w:iCs w:val="1"/>
          <w:rtl w:val="0"/>
        </w:rPr>
        <w:t xml:space="preserve">out-of-fold</w:t>
      </w:r>
      <w:r w:rsidDel="00000000" w:rsidR="00000000" w:rsidRPr="00000000">
        <w:rPr>
          <w:rtl w:val="0"/>
        </w:rPr>
        <w:t xml:space="preserve">) para o modelo base que as gerou. Esse rigor na simulação garante que a capacidade de fusão do meta-modelo seja genuinamente generalizável para o mundo real.</w:t>
      </w:r>
    </w:p>
    <w:p w:rsidR="00000000" w:rsidDel="00000000" w:rsidP="00000000" w:rsidRDefault="00000000" w:rsidRPr="00000000" w14:paraId="0000000D">
      <w:pPr>
        <w:spacing w:after="240" w:before="240" w:lineRule="auto"/>
        <w:rPr/>
      </w:pPr>
      <w:r w:rsidDel="00000000" w:rsidR="00000000" w:rsidRPr="00000000">
        <w:rPr>
          <w:rtl w:val="0"/>
        </w:rPr>
        <w:t xml:space="preserve">O grande trunfo do stacking reside justamente em sua capacidade de identificar padrões de confiança subjacentes — por exemplo, percebendo matematicamente que o Modelo A é ótimo para distinguir uma classe específica, enquanto o Modelo B é a autoridade máxima em outra. Apesar de entregar resultados formidáveis, especialmente em competições complexas de ciência de dados, sua implementação exige um esforço computacional elevado e um rigoroso cuidado arquitetural na passagem de dados entre as camadas.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