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Arvis docx fixture.</w:t>
      </w:r>
    </w:p>
    <w:p>
      <w:r>
        <w:t>Total margin on the Luxe models is 18 percent.</w:t>
      </w:r>
    </w:p>
  </w:body>
</w:document>
</file>