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 w:ascii="Calibri" w:hAnsi="Calibri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ДОГОВОР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</w:rPr>
        <w:t>инвестирования в строительство многоквартирного жилого дома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г. Избербаш</w:t>
        <w:tab/>
        <w:tab/>
        <w:tab/>
        <w:tab/>
        <w:tab/>
        <w:tab/>
        <w:tab/>
        <w:tab/>
        <w:t>{current_date}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Общество с ограниченной ответственностью «Строительная компания ИСХА КОНЦЕПТ»</w:t>
      </w:r>
      <w:r>
        <w:rPr>
          <w:rFonts w:eastAsia="Calibri" w:cs="Times New Roman" w:ascii="Times New Roman" w:hAnsi="Times New Roman"/>
          <w:sz w:val="24"/>
          <w:szCs w:val="24"/>
        </w:rPr>
        <w:t xml:space="preserve">, в лице генерального директора Магомедова Ислама Абусупьяновича, действующего на основании Устава, именуемое в дальнейшем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«Застройщик»</w:t>
      </w:r>
      <w:r>
        <w:rPr>
          <w:rFonts w:eastAsia="Calibri" w:cs="Times New Roman" w:ascii="Times New Roman" w:hAnsi="Times New Roman"/>
          <w:sz w:val="24"/>
          <w:szCs w:val="24"/>
        </w:rPr>
        <w:t>, с одной стороны, и</w:t>
      </w:r>
    </w:p>
    <w:p>
      <w:pPr>
        <w:pStyle w:val="Normal"/>
        <w:spacing w:lineRule="auto" w:line="240" w:before="0" w:after="0"/>
        <w:ind w:firstLine="708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Фамилия Имя Отчество:  </w:t>
      </w:r>
      <w:r>
        <w:rPr>
          <w:rFonts w:eastAsia="Times New Roman" w:ascii="Times New Roman" w:hAnsi="Times New Roman"/>
          <w:b/>
          <w:bCs/>
          <w:sz w:val="24"/>
          <w:szCs w:val="24"/>
        </w:rPr>
        <w:t>{fullname}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Дата рождения:                    {birthdate}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Паспорт:                                {passport}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Выдан когда и кем:              {passport_issue_date} {passport_issued_by}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en-US"/>
        </w:rPr>
        <w:t>Код подразделения:             {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passport_division_code}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Зарегистрирован</w:t>
      </w:r>
      <w:r>
        <w:rPr>
          <w:rFonts w:ascii="Times New Roman" w:hAnsi="Times New Roman"/>
          <w:lang w:val="en-US"/>
        </w:rPr>
        <w:t>:</w:t>
      </w:r>
      <w:r>
        <w:rPr>
          <w:lang w:val="en-US"/>
        </w:rPr>
        <w:t xml:space="preserve">                     </w:t>
      </w:r>
      <w:r>
        <w:rPr>
          <w:rFonts w:ascii="Times New Roman" w:hAnsi="Times New Roman"/>
          <w:sz w:val="24"/>
          <w:szCs w:val="24"/>
          <w:lang w:val="en-US"/>
        </w:rPr>
        <w:t>{registration_address}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именуемый (именуемая) в дальнейшем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Инвестор,</w:t>
      </w:r>
      <w:r>
        <w:rPr>
          <w:rFonts w:eastAsia="Calibri" w:cs="Times New Roman" w:ascii="Times New Roman" w:hAnsi="Times New Roman"/>
          <w:sz w:val="24"/>
          <w:szCs w:val="24"/>
        </w:rPr>
        <w:t xml:space="preserve"> с другой стороны,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заключили настоящий договор (далее – «Договор») о следующем:</w:t>
      </w:r>
    </w:p>
    <w:p>
      <w:pPr>
        <w:pStyle w:val="Normal"/>
        <w:spacing w:lineRule="auto" w:line="240" w:before="0" w:after="0"/>
        <w:ind w:start="72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ind w:start="72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ПРЕДМЕТ ДОГОВОРА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Застройщик обязуется в предусмотренный настоящим договором срок своими силами и/или с привлечением других лиц, построить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Многоквартирный жилой дом,</w:t>
      </w:r>
      <w:r>
        <w:rPr>
          <w:rFonts w:eastAsia="Calibri" w:cs="Times New Roman" w:ascii="Times New Roman" w:hAnsi="Times New Roman"/>
          <w:sz w:val="24"/>
          <w:szCs w:val="24"/>
        </w:rPr>
        <w:t xml:space="preserve"> расположенный по адресу: Российская Федерация, Республика Дагестан, г. Избербаш, ул. Межлумова, д. 11/1, и после получения разрешения на ввод в эксплуатацию, передать в собственность Инвестору Объект инвестирования, а Инвестор обязуется оплатить обусловленную настоящим договором цену и принять Объект инвестирования. 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Объектом инвестирования (далее – по тексту Помещение), подлежащим передаче Инвестору в рамках настоящего договора являются помещение, расположенное по адресу: Российская Федерация, Республика Дагестан, г. Избербаш, ул. Межлумова, д. 11/1, и имеет следующие параметры: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ab/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ab/>
        <w:t>Корпус: {building}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Условный строительный номер: </w:t>
      </w:r>
      <w:r>
        <w:rPr>
          <w:rFonts w:eastAsia="Calibri" w:cs="Times New Roman" w:ascii="Times New Roman" w:hAnsi="Times New Roman"/>
          <w:sz w:val="24"/>
          <w:szCs w:val="24"/>
        </w:rPr>
        <w:t>{construction_number}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Этаж: </w:t>
      </w:r>
      <w:r>
        <w:rPr>
          <w:rFonts w:eastAsia="Calibri" w:cs="Times New Roman" w:ascii="Times New Roman" w:hAnsi="Times New Roman"/>
          <w:sz w:val="24"/>
          <w:szCs w:val="24"/>
        </w:rPr>
        <w:t>{floor}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/>
        <w:tab/>
      </w:r>
      <w:r>
        <w:rPr>
          <w:rFonts w:ascii="Times New Roman" w:hAnsi="Times New Roman"/>
          <w:sz w:val="24"/>
          <w:szCs w:val="24"/>
        </w:rPr>
        <w:t>Общая проектная площадь, кв.м. {area}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Строительство Многоквартирного жилого дома осуществляется на земельном участке с кадастровым номером 05:49:000039:2973 общей площадью 10 000 кв.м., принадлежащем на праве собственности Гамзатову Магомедарипу Магомедгаджиеву правами на использование которого для строительства Застройщик обладает на основании договора подряда от 15.09.2025. </w:t>
      </w:r>
      <w:r>
        <w:rPr>
          <w:rFonts w:eastAsia="Calibri" w:cs="Times New Roman" w:ascii="Times New Roman" w:hAnsi="Times New Roman"/>
          <w:b/>
          <w:bCs/>
          <w:sz w:val="24"/>
          <w:szCs w:val="24"/>
        </w:rPr>
        <w:t>Разрешение на строительство</w:t>
      </w:r>
      <w:r>
        <w:rPr>
          <w:rFonts w:eastAsia="Calibri" w:cs="Times New Roman" w:ascii="Times New Roman" w:hAnsi="Times New Roman"/>
          <w:sz w:val="24"/>
          <w:szCs w:val="24"/>
        </w:rPr>
        <w:t xml:space="preserve"> от 28.11.2022 № 05</w:t>
      </w:r>
      <w:r>
        <w:rPr>
          <w:rFonts w:eastAsia="Calibri" w:cs="Times New Roman" w:ascii="Times New Roman" w:hAnsi="Times New Roman"/>
          <w:sz w:val="24"/>
          <w:szCs w:val="24"/>
          <w:lang w:val="en-US"/>
        </w:rPr>
        <w:t>RU</w:t>
      </w:r>
      <w:r>
        <w:rPr>
          <w:rFonts w:eastAsia="Calibri" w:cs="Times New Roman" w:ascii="Times New Roman" w:hAnsi="Times New Roman"/>
          <w:sz w:val="24"/>
          <w:szCs w:val="24"/>
        </w:rPr>
        <w:t>05304000-20-2022, выдано Отделом архитектуры и строительства г. Избербаш РД.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Заключая настоящий договор, Инвестор подтверждает, что он ознакомлен с проектной декларацией, разрешением на строительство, проектной документацией (рабочим проектом) Многоквартирного жилого дома, учредительными и иными документами Застройщика, и согласен с тем, что фактические параметры получаемого по настоящему договору Помещения после завершения строительства могут отличаться от проектных параметров (размеров), указанных в настоящем договоре.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ЦЕНА ДОГОВОРА. ПОРЯДОК РАСЧЁТОВ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Цена Договора, подлежащая уплате Инвестором Застройщику, составляет сумму в размере {price} рублей, исходя из стоимости одного квадратного метра в размере {price_per_square} рублей.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Инвестор обязуется оплатить цену Договора в следующем порядке: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Первый платеж в размере {initial_payment_percent} % от Цены договора, указанной в п. 2.1 Договора, что составляет {initial_payment} рублей, в течение 3 (трех) календарных дней с даты заключения настоящего Договора.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Оставшаяся сумма оплачивается в порядке, предусмотренном Графиком платежей (Приложение № 1).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ПОРЯДОК ПЕРЕДАЧИ ПОМЕЩЕНИЯ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Передача </w:t>
      </w:r>
      <w:bookmarkStart w:id="0" w:name="_Hlk185007834"/>
      <w:r>
        <w:rPr>
          <w:rFonts w:eastAsia="Calibri" w:cs="Times New Roman" w:ascii="Times New Roman" w:hAnsi="Times New Roman"/>
          <w:sz w:val="24"/>
          <w:szCs w:val="24"/>
        </w:rPr>
        <w:t>Помещения</w:t>
      </w:r>
      <w:bookmarkEnd w:id="0"/>
      <w:r>
        <w:rPr>
          <w:rFonts w:eastAsia="Calibri" w:cs="Times New Roman" w:ascii="Times New Roman" w:hAnsi="Times New Roman"/>
          <w:sz w:val="24"/>
          <w:szCs w:val="24"/>
        </w:rPr>
        <w:t xml:space="preserve"> Застройщиком и принятие его Инвестором осуществляются по передаточному акту.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Передача Помещения осуществляется после получения разрешения на ввод в эксплуатацию Многоквартирного жилого дома.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Срок получения разрешения на ввод в эксплуатацию - 01 декабря 2027 года.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Срок передачи Помещения Инвестору – после 28 января 2028 года.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Помещение будет передано Инвестору в следующем состоянии: без отдели, без стяжки, входная дверь – бронированная заводская (открывание по проекту). Наличники и дверной блок устанавливаются в цвет двери. Окна: армированный ПВХ профиль в двух цветовых решениях. Оконные откосы – пластиковые панели белого цвета. Подоконные доски – пластиковые, белого цвета.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В случае, если строительство Многоквартирного жилого дома не может быть завершено в предусмотренный договором срок, Застройщик не позднее чем за два месяца до истечения указанного срока обязан направить Инвестору соответствующую информацию и предложение об изменении договора. 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однократно в одностороннем порядке вправе изменять условия договора в части переноса срока передачи Застройщиком Помещения, но не более чем на 6 (шесть) месяцев, проинформировав об этом Инвестора в письменном виде.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направляет Инвестору письменное сообщение о завершении строительства и о готовности Помещения к передаче.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Риск случайной гибели или случайного повреждения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</w:rPr>
        <w:t>Помещения, оплату коммунальных услуг после подписания акта приема-передачи квартиры, несет Инвестор.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При уклонении Инвестора от принятия Помещения или при отказе Инвестора от принятия Помещения, Застройщик по истечении двух месяцев со дня, предусмотренного договором для передачи Помещения Инвестору, вправе составить односторонний акт о передаче Помещения. При этом риск случайной гибели Помещения и бремя содержания (включая оплату коммунальных услуг и иных эксплуатационных расходов) признается перешедшим к Инвестору со дня составления Застройщиком одностороннего акта.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Площадь Помещения, указанная в п. 1.2 Договора, может быть изменена (уточнена) согласно данным технической инвентаризации. Указанное уточнение площади Помещения не является для сторон договора недостатком качества Помещения. Окончательная (фактическая) площадь указывается сторонами в акте приема-передачи.</w:t>
      </w:r>
    </w:p>
    <w:p>
      <w:pPr>
        <w:pStyle w:val="Normal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 случае увеличения общей площади Помещения более чем на 1 кв. м по данным технической инвентаризации, по сравнению с той, что указана в п. 1.2 настоящего Договора, Инвестор обязуется доплатить Застройщику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Застройщика к Участнику.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 случае уменьшения общей площади Помещения более чем на 1 кв. м по данным технической инвентаризации, по сравнению с той, что указана в п. 1.2 настоящего Договора, Застройщик обязуется возвратить Инвестору цену Договора, исходя из расчетной цены 1 (одного) кв. м, указанной в п. 2.1. настоящего Договора, в течение 10 (десяти) рабочих дней после направления письменного требования Инвестора Застройщику.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  <w:highlight w:val="yellow"/>
        </w:rPr>
      </w:pPr>
      <w:r>
        <w:rPr>
          <w:rFonts w:eastAsia="Calibri" w:cs="Times New Roman" w:ascii="Times New Roman" w:hAnsi="Times New Roman"/>
          <w:sz w:val="24"/>
          <w:szCs w:val="24"/>
          <w:highlight w:val="yellow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  <w:highlight w:val="yellow"/>
        </w:rPr>
      </w:pPr>
      <w:r>
        <w:rPr>
          <w:rFonts w:eastAsia="Calibri" w:cs="Times New Roman" w:ascii="Times New Roman" w:hAnsi="Times New Roman"/>
          <w:sz w:val="24"/>
          <w:szCs w:val="24"/>
          <w:highlight w:val="yellow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ОБЯЗАТЕЛЬСТВА СТОРОН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Застройщик обязан: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4.1.1. В полном объёме и в срок выполнять все положения настоящего Договора;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4.1.2. Организовывать и осуществлять мероприятия, связанные со строительством Многоквартирного жилого дома, путем заключения необходимых договоров с третьими лицами, привлекаемыми Застройщиком к строительству;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4.1.3. Организовать мероприятия по техническому надзору за ходом организации и производства строительно-монтажных работ;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4.1.4. Обеспечить ввод Многоквартирного жилого дома в эксплуатацию в срок, указанный в п. 3.3 Договора;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4.1.5. После завершения строительства Многоквартирного жилого дома передать Инвестору Помещение по акту приёма-передачи</w:t>
      </w:r>
      <w:r>
        <w:rPr>
          <w:rFonts w:cs="Times New Roman" w:ascii="Times New Roman" w:hAnsi="Times New Roman"/>
          <w:sz w:val="24"/>
          <w:szCs w:val="24"/>
        </w:rPr>
        <w:t>, п</w:t>
      </w:r>
      <w:r>
        <w:rPr>
          <w:rFonts w:eastAsia="Calibri" w:cs="Times New Roman" w:ascii="Times New Roman" w:hAnsi="Times New Roman"/>
          <w:sz w:val="24"/>
          <w:szCs w:val="24"/>
        </w:rPr>
        <w:t>ри условии надлежащего исполнения Инвестором обязательств по оплате денежных средств;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4.1.6. Информировать Инвестора о проекте строительства Помещения, ходе строительства Помещения,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</w:rPr>
        <w:t>о сроках ввода жилого дома в эксплуатацию;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4.1.7. После получения разрешения на ввод в эксплуатацию Многоквартирного жилого дома письменно уведомить Инвестора о готовности передачи Помещения и необходимости подписания акта приема-передачи.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 обязан: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4.2.1. Своевременно, осуществлять платежи, в соответствии с Графиком платежей.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4.2.2. Принять Помещение по акту приёма-передачи в течение 10 дней после получения от Застройщика уведомления о готовности передачи Помещения;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4.2.3.  До регистрации права собственности на Помещение в Управлении федеральной службы государственной регистрации, кадастра и картографии Республики Дагестан Инвестор не вправе производить перепланировку, переоборудование Помещения, прокладку любых дополнительных сетей и коммуникаций, возводить внутренние перегородки, проемы в несущих стенах, изменять проектное положение сантехнических разводов и стояков, газового оборудования, схемы электроразводки, без предварительного письменного согласования с Застройщиком;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4.2.4. В случае нарушения данного обязательства, Застройщик вправе взыскать с Инвестора средства, необходимые для приведения Помещения в проектное состояние.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Застройщик вправе: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4.3.1. Определять в соответствии с настоящим Договором и проектом объемы и конкретные направления использования инвестиций.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4.3.2. Привлекать подрядчиков для выполнения строительных и иных работ;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4.3.3. Обеспечивать контроль за соответствием объема и качества выполняемых работ.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4.3.4. Осуществить досрочную передачу Помещения Инвестору.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4.3.5. В случае невнесения Инвестором платежей более 2 (двух) месяцев, 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Помещение в соответствии с п. 4.1.5.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Инвестор вправе: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4.4.1. Получать информацию о проекте строительства Помещения, ходе строительства Помещения, о сроках ввода жилого дома в эксплуатацию;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4.4.2. Назначить доверенное лицо для представления интересов в отношениях с Застройщиком на основании нотариально удостоверенной доверенности;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4.4.3. Уступить права и обязанности по настоящему Договору третьим лицам при условии предварительного письменного согласования с Застройщиком.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ГАРАНТИЯ КАЧЕСТВА И ОТВЕТСТВЕННОСТЬ СТОРОН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Гарантийный срок для Помещения устанавливается договором и составляет пять лет.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Гарантийный срок на технологическое и инженерное оборудование, входящее в состав передаваемого Инвестору Помещения составляет три года.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Указанные гарантийные сроки исчисляется со дня передачи Помещения Инвестору по акту приема-передачи.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гарантирует Инвестору, что передаваемое Помещение будет построено в соответствии с требованиями государственных норм и правил.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Застройщик гарантирует Инвестору, что передаваемое Помещение, не подарено, не заложено, свободно от обязательств, в споре и под запретом не состоит, или каким-либо иным образом не обременено.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 момента подписания сторонами настоящего Договора, Стороны обязуются в полном объеме исполнять свои права и обязанности, предусмотренные настоящим Договором.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Стороны несут ответственность за неисполнение или ненадлежащее исполнение принятых на себя обязательств по настоящему договору в соответствии с действующим законодательством РФ.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такое неисполнение явилось следствием действия обстоятельств непреодолимой силы, не поддающихся разумному контролю Сторон, возникших после заключения Договора, а также объективно препятствующих полному или частичному выполнению Сторонами своих обязательств.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Договор может быть расторгнут также по обоюдному согласию сторон.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Любая информация о финансовом положении Сторон и условиях настоящего договора, а также договоров с третьими лицами, участвующими в реализации проекта, считается конфиденциальной и не подлежит разглашению.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Все споры и разногласия Стороны будут стремиться урегулировать в досудебном порядке.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Споры, вытекающие из настоящего договора, подлежат рассмотрению в порядке, предусмотренном действующим законодательством РФ.</w:t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ЗАКЛЮЧИТЕЛЬНЫЕ ПОЛОЖЕНИЯ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Настоящий договор вступает в силу со дня его подписания Сторонами и прекращает своё действие после подписания акта приёма-передачи Помещения.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Условия настоящего договора могут быть изменены по взаимному соглашению Сторон. Все изменения, дополнения и соглашения к настоящему договору являются неотъемлемой частью настоящего договора, если совершены в письменной форме и подписаны Сторонами.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В случае расторжения договора в соответствии с п. 5.9. Договора по инициативе Инвестора, Инвестор вправе подать письменное заявление о возврате сумм, фактически выплаченных Инвестором на дату подачи письменного заявления о возврате. Застройщик обязуется произвести возврат указанной в п. 6.3. суммы в течении 120 (ста двадцати) календарных дней с даты получения надлежащим образом оформленного заявления о возврате. 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Настоящий договор составлен в двух экземплярах, имеющих одинаковую юридическую силу, по одному экземпляру для каждой Стороны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Оформление права собственности на результат инвестиционной деятельности не является предметом настоящего договора.</w:t>
      </w:r>
    </w:p>
    <w:p>
      <w:pPr>
        <w:pStyle w:val="ListParagraph"/>
        <w:numPr>
          <w:ilvl w:val="1"/>
          <w:numId w:val="1"/>
        </w:numPr>
        <w:spacing w:lineRule="auto" w:line="240" w:before="0" w:after="0"/>
        <w:ind w:hanging="0" w:start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После заключения настоящего договора все предыдущие соглашения между Сторонами как письменные, так и устные признаются утратившими свою силу.</w:t>
      </w:r>
    </w:p>
    <w:p>
      <w:pPr>
        <w:pStyle w:val="ListParagraph"/>
        <w:numPr>
          <w:ilvl w:val="1"/>
          <w:numId w:val="1"/>
        </w:numPr>
        <w:ind w:hanging="0" w:start="0"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При заключении и исполнении настоящего Договора стороны руководствуются Федеральным законом от 25.02.1999 № 39-ФЗ «Об инвестиционной деятельности в Российской Федерации, осуществляемой в форме капитальных вложений»</w:t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ind w:hanging="567" w:start="567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  <w:t>РЕКВИЗИТЫ И ПОДПИСИ СТОРОН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tbl>
      <w:tblPr>
        <w:tblStyle w:val="ab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390"/>
        <w:gridCol w:w="4955"/>
      </w:tblGrid>
      <w:tr>
        <w:trPr/>
        <w:tc>
          <w:tcPr>
            <w:tcW w:w="4390" w:type="dxa"/>
            <w:tcBorders/>
          </w:tcPr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val="ru-RU" w:eastAsia="en-US" w:bidi="ar-SA"/>
              </w:rPr>
              <w:t>ЗАСТРОЙЩИК</w:t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val="ru-RU" w:eastAsia="en-US" w:bidi="ar-SA"/>
              </w:rPr>
              <w:t>ООО</w:t>
            </w:r>
            <w:r>
              <w:rPr>
                <w:b/>
                <w:spacing w:val="-2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val="ru-RU" w:eastAsia="en-US" w:bidi="ar-SA"/>
              </w:rPr>
              <w:t>«ИСХА КОНЦЕПТ</w:t>
            </w:r>
            <w:r>
              <w:rPr>
                <w:b/>
                <w:spacing w:val="-2"/>
                <w:kern w:val="0"/>
                <w:sz w:val="24"/>
                <w:szCs w:val="22"/>
                <w:lang w:val="ru-RU" w:eastAsia="en-US" w:bidi="ar-SA"/>
              </w:rPr>
              <w:t>»</w:t>
            </w:r>
          </w:p>
          <w:p>
            <w:pPr>
              <w:pStyle w:val="TableParagraph"/>
              <w:suppressAutoHyphens w:val="true"/>
              <w:spacing w:before="0" w:after="0"/>
              <w:ind w:start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ru-RU" w:eastAsia="en-US" w:bidi="ar-SA"/>
              </w:rPr>
              <w:t>ОГРН</w:t>
            </w:r>
            <w:r>
              <w:rPr>
                <w:spacing w:val="-3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>1250500015644</w:t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ru-RU" w:eastAsia="en-US" w:bidi="ar-SA"/>
              </w:rPr>
              <w:t>ИНН</w:t>
            </w: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 xml:space="preserve"> 0500040900</w:t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ru-RU" w:eastAsia="en-US" w:bidi="ar-SA"/>
              </w:rPr>
              <w:t>КПП</w:t>
            </w:r>
            <w:r>
              <w:rPr>
                <w:spacing w:val="-3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>050001001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start="57"/>
              <w:jc w:val="start"/>
              <w:rPr>
                <w:sz w:val="26"/>
                <w:szCs w:val="26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 xml:space="preserve">Юридический адрес: </w:t>
            </w:r>
            <w:r>
              <w:rPr>
                <w:rFonts w:eastAsia="Calibri" w:cs=""/>
                <w:kern w:val="0"/>
                <w:sz w:val="26"/>
                <w:szCs w:val="26"/>
                <w:lang w:val="ru-RU" w:eastAsia="en-US" w:bidi="ar-SA"/>
              </w:rPr>
              <w:t>367026, Республика Дагестан, г. Махачкала, ул. Мурсалова, д.9-А</w:t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 xml:space="preserve">Телефон: </w:t>
            </w:r>
            <w:r>
              <w:rPr>
                <w:kern w:val="0"/>
                <w:sz w:val="26"/>
                <w:szCs w:val="26"/>
                <w:lang w:val="ru-RU" w:eastAsia="en-US" w:bidi="ar-SA"/>
              </w:rPr>
              <w:t>+79217111181</w:t>
            </w:r>
          </w:p>
          <w:p>
            <w:pPr>
              <w:pStyle w:val="TableParagraph"/>
              <w:suppressAutoHyphens w:val="true"/>
              <w:spacing w:before="0" w:after="0"/>
              <w:jc w:val="start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>Эл.почта:</w:t>
            </w:r>
          </w:p>
          <w:p>
            <w:pPr>
              <w:pStyle w:val="TableParagraph"/>
              <w:suppressAutoHyphens w:val="true"/>
              <w:spacing w:before="0" w:after="0"/>
              <w:ind w:start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both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ru-RU" w:eastAsia="en-US" w:bidi="ar-SA"/>
              </w:rPr>
              <w:t>Генеральный</w:t>
            </w:r>
            <w:r>
              <w:rPr>
                <w:spacing w:val="-7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ru-RU" w:eastAsia="en-US" w:bidi="ar-SA"/>
              </w:rPr>
              <w:t xml:space="preserve">директор: </w:t>
            </w:r>
          </w:p>
          <w:p>
            <w:pPr>
              <w:pStyle w:val="TableParagraph"/>
              <w:suppressAutoHyphens w:val="true"/>
              <w:spacing w:before="25" w:after="0"/>
              <w:ind w:start="0"/>
              <w:jc w:val="star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4"/>
                <w:szCs w:val="22"/>
                <w:lang w:val="ru-RU" w:eastAsia="en-US" w:bidi="ar-SA"/>
              </w:rPr>
              <w:t xml:space="preserve">Магомедов И.А. </w:t>
            </w:r>
            <w:r>
              <w:rPr>
                <w:rFonts w:eastAsia="Calibri" w:cs=""/>
                <w:kern w:val="0"/>
                <w:sz w:val="24"/>
                <w:szCs w:val="22"/>
                <w:u w:val="single"/>
                <w:lang w:val="ru-RU" w:eastAsia="en-US" w:bidi="ar-SA"/>
              </w:rPr>
              <w:tab/>
              <w:t>____________</w:t>
            </w:r>
          </w:p>
        </w:tc>
        <w:tc>
          <w:tcPr>
            <w:tcW w:w="49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 xml:space="preserve">ИНВЕСТОР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ФИО: </w:t>
            </w: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{fullname}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ПАСПОРТ выдан: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{passport_issued_by}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Адрес регистрации: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{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registration_address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}</w:t>
            </w:r>
          </w:p>
          <w:p>
            <w:pPr>
              <w:pStyle w:val="BodyText"/>
              <w:widowControl w:val="false"/>
              <w:suppressAutoHyphens w:val="true"/>
              <w:spacing w:before="0" w:after="0"/>
              <w:ind w:start="113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Адрес фактического проживания:</w:t>
            </w:r>
          </w:p>
          <w:p>
            <w:pPr>
              <w:pStyle w:val="BodyText"/>
              <w:widowControl w:val="false"/>
              <w:suppressAutoHyphens w:val="true"/>
              <w:spacing w:before="0" w:after="0"/>
              <w:ind w:start="113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{living_address}</w:t>
            </w:r>
          </w:p>
          <w:p>
            <w:pPr>
              <w:pStyle w:val="BodyText"/>
              <w:widowControl w:val="false"/>
              <w:suppressAutoHyphens w:val="true"/>
              <w:spacing w:before="0" w:after="0"/>
              <w:ind w:start="113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Телефон: {phone_number}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Эл.почта: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Инвестор: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{shortname}</w:t>
            </w:r>
            <w:r>
              <w:rPr>
                <w:rFonts w:eastAsia="Times New Roman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__________________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>Приложение № 1</w:t>
      </w:r>
    </w:p>
    <w:p>
      <w:pPr>
        <w:pStyle w:val="Normal"/>
        <w:spacing w:lineRule="auto" w:line="240" w:before="0" w:after="0"/>
        <w:ind w:start="5954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  <w:t>к договору инвестирования в строительство многоквартирного жилого дома от {current_date}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i/>
          <w:i/>
          <w:sz w:val="24"/>
          <w:szCs w:val="24"/>
        </w:rPr>
      </w:pPr>
      <w:r>
        <w:rPr>
          <w:rFonts w:eastAsia="Calibri"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ГРАФИК ПЛАТЕЖЕЙ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708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В соответствии с п. 2.2 Договора Инвестор обязуется вносить платежи не позднее дат, указанных в настоящем Графике платежей.</w:t>
      </w:r>
    </w:p>
    <w:p>
      <w:pPr>
        <w:pStyle w:val="Normal"/>
        <w:spacing w:lineRule="auto" w:line="240" w:before="0" w:after="0"/>
        <w:ind w:firstLine="708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Инвестор уведомлен, что в случае просрочки внесения очередного платежа более 2 (двух) месяцев </w:t>
      </w:r>
      <w:bookmarkStart w:id="1" w:name="_Hlk185016097"/>
      <w:r>
        <w:rPr>
          <w:rFonts w:eastAsia="Calibri" w:cs="Times New Roman" w:ascii="Times New Roman" w:hAnsi="Times New Roman"/>
          <w:sz w:val="24"/>
          <w:szCs w:val="24"/>
        </w:rPr>
        <w:t>Застройщик вправе расторгнуть договор в одностороннем порядке. В этом случае, Инвестору возвращается сумма, внесенных им ранее платежей, а Застройщик освобождается от обязанности передать Помещение в соответствии с п. 4.1.5.</w:t>
      </w:r>
      <w:bookmarkEnd w:id="1"/>
    </w:p>
    <w:tbl>
      <w:tblPr>
        <w:tblStyle w:val="ab"/>
        <w:tblW w:w="9433" w:type="dxa"/>
        <w:jc w:val="start"/>
        <w:tblInd w:w="-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94"/>
        <w:gridCol w:w="2698"/>
        <w:gridCol w:w="2829"/>
        <w:gridCol w:w="3112"/>
      </w:tblGrid>
      <w:tr>
        <w:trPr>
          <w:trHeight w:val="428" w:hRule="atLeast"/>
        </w:trPr>
        <w:tc>
          <w:tcPr>
            <w:tcW w:w="7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п/п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Платеж (руб)</w:t>
            </w:r>
          </w:p>
        </w:tc>
        <w:tc>
          <w:tcPr>
            <w:tcW w:w="28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Дата платежа</w:t>
            </w:r>
          </w:p>
        </w:tc>
        <w:tc>
          <w:tcPr>
            <w:tcW w:w="3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Остаток (руб)</w:t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Style w:val="SourceText"/>
          <w:rFonts w:cs="Times New Roman" w:ascii="Times New Roman" w:hAnsi="Times New Roman"/>
        </w:rPr>
        <w:t>{#paymentTable}</w:t>
      </w:r>
    </w:p>
    <w:tbl>
      <w:tblPr>
        <w:tblStyle w:val="ab"/>
        <w:tblW w:w="9433" w:type="dxa"/>
        <w:jc w:val="start"/>
        <w:tblInd w:w="-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94"/>
        <w:gridCol w:w="2698"/>
        <w:gridCol w:w="2829"/>
        <w:gridCol w:w="3112"/>
      </w:tblGrid>
      <w:tr>
        <w:trPr>
          <w:trHeight w:val="266" w:hRule="atLeast"/>
        </w:trPr>
        <w:tc>
          <w:tcPr>
            <w:tcW w:w="7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{number}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{payment}</w:t>
            </w:r>
          </w:p>
        </w:tc>
        <w:tc>
          <w:tcPr>
            <w:tcW w:w="282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{date}</w:t>
            </w:r>
          </w:p>
        </w:tc>
        <w:tc>
          <w:tcPr>
            <w:tcW w:w="3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{remaining}</w:t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Style w:val="SourceText"/>
          <w:rFonts w:cs="Times New Roman" w:ascii="Times New Roman" w:hAnsi="Times New Roman"/>
        </w:rPr>
        <w:t>{/paymentTable}</w:t>
      </w:r>
    </w:p>
    <w:tbl>
      <w:tblPr>
        <w:tblStyle w:val="ab"/>
        <w:tblW w:w="9433" w:type="dxa"/>
        <w:jc w:val="start"/>
        <w:tblInd w:w="-9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794"/>
        <w:gridCol w:w="4113"/>
        <w:gridCol w:w="1414"/>
        <w:gridCol w:w="3112"/>
      </w:tblGrid>
      <w:tr>
        <w:trPr>
          <w:trHeight w:val="250" w:hRule="atLeast"/>
        </w:trPr>
        <w:tc>
          <w:tcPr>
            <w:tcW w:w="79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552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Итого:</w:t>
            </w:r>
          </w:p>
        </w:tc>
        <w:tc>
          <w:tcPr>
            <w:tcW w:w="311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{price}</w:t>
            </w:r>
          </w:p>
        </w:tc>
      </w:tr>
      <w:tr>
        <w:trPr>
          <w:trHeight w:val="944" w:hRule="atLeast"/>
        </w:trPr>
        <w:tc>
          <w:tcPr>
            <w:tcW w:w="4907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45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bCs/>
          <w:sz w:val="24"/>
          <w:szCs w:val="24"/>
        </w:rPr>
      </w:pPr>
      <w:r>
        <w:rPr>
          <w:rFonts w:eastAsia="Calibri"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 w:ascii="Calibri" w:hAnsi="Calibri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 w:ascii="Calibri" w:hAnsi="Calibri"/>
          <w:sz w:val="24"/>
          <w:szCs w:val="24"/>
        </w:rPr>
      </w:r>
    </w:p>
    <w:p>
      <w:pPr>
        <w:pStyle w:val="Normal"/>
        <w:spacing w:lineRule="auto" w:line="240" w:before="0" w:after="0"/>
        <w:contextualSpacing/>
        <w:jc w:val="both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 w:ascii="Calibri" w:hAnsi="Calibri"/>
          <w:sz w:val="24"/>
          <w:szCs w:val="24"/>
        </w:rPr>
      </w:r>
    </w:p>
    <w:p>
      <w:pPr>
        <w:pStyle w:val="Normal"/>
        <w:spacing w:before="0" w:after="160"/>
        <w:rPr>
          <w:rFonts w:ascii="Calibri" w:hAnsi="Calibri" w:eastAsia="Calibri" w:cs="Times New Roman"/>
          <w:sz w:val="24"/>
          <w:szCs w:val="24"/>
        </w:rPr>
      </w:pPr>
      <w:r>
        <w:rPr>
          <w:rFonts w:eastAsia="Calibri" w:cs="Times New Roman" w:ascii="Calibri" w:hAnsi="Calibri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850" w:gutter="0" w:header="708" w:top="993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-1430574979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1080" w:hanging="720"/>
      </w:pPr>
      <w:rPr>
        <w:b w:val="false"/>
        <w:bCs w:val="false"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440" w:hanging="108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800" w:hanging="144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2160" w:hanging="180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90" w:hanging="69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410" w:hanging="69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16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288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6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6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76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48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7560" w:hanging="180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83b9c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b517e7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b517e7"/>
    <w:rPr/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915a2d"/>
    <w:pPr>
      <w:spacing w:before="0" w:after="160"/>
      <w:ind w:star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b517e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b517e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ableParagraph" w:customStyle="1">
    <w:name w:val="Table Paragraph"/>
    <w:basedOn w:val="Normal"/>
    <w:uiPriority w:val="1"/>
    <w:qFormat/>
    <w:rsid w:val="007c4ec2"/>
    <w:pPr>
      <w:widowControl w:val="false"/>
      <w:spacing w:lineRule="auto" w:line="240" w:before="0" w:after="0"/>
      <w:ind w:start="110"/>
    </w:pPr>
    <w:rPr>
      <w:rFonts w:ascii="Times New Roman" w:hAnsi="Times New Roman" w:eastAsia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b">
    <w:name w:val="Table Grid"/>
    <w:basedOn w:val="a1"/>
    <w:uiPriority w:val="39"/>
    <w:rsid w:val="000170f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DE17C-91A4-4C92-9F49-9D3B579FFC2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LibreOffice/25.8.1.1$MacOSX_AARCH64 LibreOffice_project/54047653041915e595ad4e45cccea684809c77b5</Application>
  <AppVersion>15.0000</AppVersion>
  <Pages>6</Pages>
  <Words>1721</Words>
  <Characters>12249</Characters>
  <CharactersWithSpaces>13933</CharactersWithSpaces>
  <Paragraphs>124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2026-07-20T23:22:00Z</dcterms:created>
  <dc:creator>111</dc:creator>
  <dc:description/>
  <dc:language>ru-RU</dc:language>
  <cp:lastModifiedBy/>
  <dcterms:modified xsi:type="dcterms:W3CDTF">2026-07-28T23:16:03Z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