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after FDR correction, after mutual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(McKinnon et al., 2023; Ramphal et al., 2020; Konrad et al., 2024) established associations detectable at or within days of birth,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Davies et al., 2019).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Davies, N. M., Dickson, M., Smith, G. D., van den Berg, G. J., &amp; Windmeijer, F. (2019). The causal effects of education on health outcomes in the UK Biobank. </w:t>
      </w:r>
      <w:r>
        <w:rPr>
          <w:rFonts w:ascii="Times New Roman" w:hAnsi="Times New Roman"/>
          <w:b w:val="0"/>
          <w:i/>
          <w:sz w:val="24"/>
        </w:rPr>
        <w:t>Nature Human Behaviour</w:t>
      </w:r>
      <w:r>
        <w:rPr>
          <w:rFonts w:ascii="Times New Roman" w:hAnsi="Times New Roman"/>
          <w:b w:val="0"/>
          <w:i w:val="0"/>
          <w:sz w:val="24"/>
        </w:rPr>
        <w:t xml:space="preserve">, </w:t>
      </w:r>
      <w:r>
        <w:rPr>
          <w:rFonts w:ascii="Times New Roman" w:hAnsi="Times New Roman"/>
          <w:b w:val="0"/>
          <w:i/>
          <w:sz w:val="24"/>
        </w:rPr>
        <w:t>2</w:t>
      </w:r>
      <w:r>
        <w:rPr>
          <w:rFonts w:ascii="Times New Roman" w:hAnsi="Times New Roman"/>
          <w:b w:val="0"/>
          <w:i w:val="0"/>
          <w:sz w:val="24"/>
        </w:rPr>
        <w:t>(2), 117–125. https://doi.org/10.1038/s41562-017-0279-y</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