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neural development in young children: a systematic review of EEG, ERP, fNIRS, and neuroimaging evidence</w:t>
      </w:r>
    </w:p>
    <w:p>
      <w:pPr>
        <w:jc w:val="center"/>
        <w:spacing w:before="120" w:after="40" w:line="360" w:lineRule="auto"/>
      </w:pPr>
      <w:r>
        <w:rPr>
          <w:rFonts w:ascii="Times New Roman" w:hAnsi="Times New Roman"/>
          <w:b/>
          <w:i w:val="0"/>
          <w:sz w:val="24"/>
        </w:rPr>
        <w:t>Authors:</w:t>
      </w:r>
      <w:r>
        <w:rPr>
          <w:rFonts w:ascii="Times New Roman" w:hAnsi="Times New Roman"/>
          <w:b w:val="0"/>
          <w:i w:val="0"/>
          <w:sz w:val="24"/>
        </w:rPr>
        <w:t xml:space="preserve"> [Author 1 Name]¹, [Author 2 Name]²</w:t>
      </w:r>
      <w:r>
        <w:rPr>
          <w:rFonts w:ascii="Times New Roman" w:hAnsi="Times New Roman"/>
          <w:b w:val="0"/>
          <w:i w:val="0"/>
          <w:sz w:val="24"/>
        </w:rPr>
        <w:t>, [Author 3 Name]¹</w:t>
      </w:r>
    </w:p>
    <w:p>
      <w:pPr>
        <w:jc w:val="center"/>
        <w:spacing w:before="80" w:after="0" w:line="288" w:lineRule="auto"/>
      </w:pPr>
      <w:r>
        <w:rPr>
          <w:rFonts w:ascii="Times New Roman" w:hAnsi="Times New Roman"/>
          <w:b/>
          <w:i w:val="0"/>
          <w:sz w:val="24"/>
        </w:rPr>
        <w:t>Affiliations:</w:t>
      </w:r>
    </w:p>
    <w:p>
      <w:pPr>
        <w:jc w:val="center"/>
        <w:spacing w:before="0" w:after="0" w:line="288" w:lineRule="auto"/>
      </w:pPr>
      <w:r>
        <w:rPr>
          <w:rFonts w:ascii="Times New Roman" w:hAnsi="Times New Roman"/>
          <w:b w:val="0"/>
          <w:i w:val="0"/>
          <w:sz w:val="24"/>
        </w:rPr>
        <w:t>¹ [Department, Institution, City, Country]</w:t>
      </w:r>
    </w:p>
    <w:p>
      <w:pPr>
        <w:jc w:val="center"/>
        <w:spacing w:before="0" w:after="0" w:line="288" w:lineRule="auto"/>
      </w:pPr>
      <w:r>
        <w:rPr>
          <w:rFonts w:ascii="Times New Roman" w:hAnsi="Times New Roman"/>
          <w:b w:val="0"/>
          <w:i w:val="0"/>
          <w:sz w:val="24"/>
        </w:rPr>
        <w:t>² [Department, Institution, City, Country]</w:t>
      </w:r>
    </w:p>
    <w:p>
      <w:pPr>
        <w:jc w:val="center"/>
        <w:spacing w:before="120" w:after="240" w:line="360" w:lineRule="auto"/>
      </w:pPr>
      <w:r>
        <w:rPr>
          <w:rFonts w:ascii="Times New Roman" w:hAnsi="Times New Roman"/>
          <w:b/>
          <w:i w:val="0"/>
          <w:sz w:val="24"/>
        </w:rPr>
        <w:t>Corresponding author:</w:t>
      </w:r>
      <w:r>
        <w:rPr>
          <w:rFonts w:ascii="Times New Roman" w:hAnsi="Times New Roman"/>
          <w:b w:val="0"/>
          <w:i w:val="0"/>
          <w:sz w:val="24"/>
        </w:rPr>
        <w:t xml:space="preserve"> [Author Name], [Department, Institution, Address]. Email: [email@institution.edu]</w:t>
      </w:r>
    </w:p>
    <w:p>
      <w:pPr>
        <w:jc w:val="left"/>
        <w:spacing w:before="0" w:after="120" w:line="480" w:lineRule="auto"/>
      </w:pPr>
      <w:r>
        <w:rPr>
          <w:rFonts w:ascii="Times New Roman" w:hAnsi="Times New Roman"/>
          <w:b/>
          <w:i w:val="0"/>
          <w:sz w:val="24"/>
        </w:rPr>
        <w:t>Target journal</w:t>
      </w:r>
      <w:r>
        <w:rPr>
          <w:rFonts w:ascii="Times New Roman" w:hAnsi="Times New Roman"/>
          <w:b w:val="0"/>
          <w:i w:val="0"/>
          <w:sz w:val="24"/>
        </w:rPr>
        <w:t>: Developmental Cognitive Neuroscience (Q1, IF ≈ 4.5)</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predicts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young children (primarily aged 0–8 years), examining which neural indices show the most consistent effects, from what developmental point associations emerge, and what structural gaps remain in research design.</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Inclusion required an independently estimable parental education association with a direct neural outcome in children primarily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9 countries or regions) met inclusion criteria. Across six modalities, 15 of 16 (94%) reported a positive association between higher parental education and more mature neural indices. Three neonatal studies indicated associations detectable before substantial postnatal experience had accrued;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consistently associated with more advanced neural development across six modalities. Arcuate fasciculus fractional anisotropy was the most robust correlate—detectable at 8.6 months, replicated at ages 5–8 years, and independent of household income—suggesting a pathway through language-circuit development to reading readiness. Individual-level predictive validity remains untested; no study used diagnostic accuracy designs. No study separately examined maternal versus paternal education, an unexamined assumption that constrains theory and intervention design.</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jc w:val="left"/>
        <w:spacing w:before="0" w:after="120" w:line="480" w:lineRule="auto"/>
      </w:pPr>
      <w:r>
        <w:rPr>
          <w:rFonts w:ascii="Times New Roman" w:hAnsi="Times New Roman"/>
          <w:b w:val="0"/>
          <w:i w:val="0"/>
          <w:sz w:val="24"/>
        </w:rPr>
        <w:t>Consistent with the World Health Organization and UNESCO frameworks, which define early childhood as birth to 8 years of age—encompassing the period from birth through the early primary school years—the present review adopts this boundary as its primary age window (WHO, 2007; UNESCO, 2010). This window is broader than the "first 1,000 days" (0–3 years) in order to capture neural development across the full preschool and early school-age period, yet narrower than middle childhood (9–12 years) and adolescence (12–18 years), which involve qualitatively distinct neurodevelopmental processes including puberty-related hormonal reorganisation and protracted prefrontal maturation.</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Fifteen years ago, Hackman &amp; Farah (2009) issued an explicit call for research that disaggregates the components of SES—separating the contributions of parental education, income, and occupational prestige to neural outcomes—and extends the neuroimaging evidence base into infancy and early childhood. Noble et al. (2015) subsequently demonstrated, in a large structural MRI study of children and adolescents aged 6–18 years, that family income was associated with cortical surface area in a markedly non-linear fashion, with the steepest gradient concentrated at the lower end of the income distribution. Yet their sample did not extend below age 6, parental education was not examined as an independent exposure separate from income, and the question of whether effects are detectable in the earliest years of life—when neural plasticity is greatest—remained unanswered.</w:t>
      </w:r>
    </w:p>
    <w:p>
      <w:pPr>
        <w:jc w:val="left"/>
        <w:spacing w:before="0" w:after="120" w:line="480" w:lineRule="auto"/>
      </w:pPr>
      <w:r>
        <w:rPr>
          <w:rFonts w:ascii="Times New Roman" w:hAnsi="Times New Roman"/>
          <w:b w:val="0"/>
          <w:i w:val="0"/>
          <w:sz w:val="24"/>
        </w:rPr>
        <w:t>No study to date has systematically examined parental education as an independent dimension of socioeconomic influence on neural development in children under 8 years across multiple neuroimaging modalities. The field's failure to act on Hackman &amp; Farah's (2009) call is striking: as the present review documents, 83 of the 109 full-text studies assessed were excluded precisely because parental education lacked an independently estimable association—it had been subsumed into composite SES indices whose components could not be disentangled. Evidence across EEG/ERP, fNIRS, fMRI, and structural/diffusion MRI has meanwhile accumulated independently, with no cross-modal synthesis. And the question of whether the non-linear income pattern identified by Noble et al. (2015) has any parallel for parental education in the 0–8 year age range—where neural indices differ substantially from those used in school-age and adolescent samples—has never been addressed.</w:t>
      </w:r>
    </w:p>
    <w:p>
      <w:pPr>
        <w:jc w:val="left"/>
        <w:spacing w:before="0" w:after="120" w:line="480" w:lineRule="auto"/>
      </w:pPr>
      <w:r>
        <w:rPr>
          <w:rFonts w:ascii="Times New Roman" w:hAnsi="Times New Roman"/>
          <w:b w:val="0"/>
          <w:i w:val="0"/>
          <w:sz w:val="24"/>
        </w:rPr>
        <w:t xml:space="preserve">The present review is the first systematic attempt to fill this gap. It addresses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Which neural indices</w:t>
      </w:r>
      <w:r>
        <w:rPr>
          <w:rFonts w:ascii="Times New Roman" w:hAnsi="Times New Roman"/>
          <w:b w:val="0"/>
          <w:i w:val="0"/>
          <w:sz w:val="24"/>
        </w:rPr>
        <w:t xml:space="preserve"> show the most consistent and robust associations across independent studies—and what does cross-modal convergence reveal about the neural systems most sensitive to parental education? (2) </w:t>
      </w:r>
      <w:r>
        <w:rPr>
          <w:rFonts w:ascii="Times New Roman" w:hAnsi="Times New Roman"/>
          <w:b w:val="0"/>
          <w:i/>
          <w:sz w:val="24"/>
        </w:rPr>
        <w:t>From what developmental point</w:t>
      </w:r>
      <w:r>
        <w:rPr>
          <w:rFonts w:ascii="Times New Roman" w:hAnsi="Times New Roman"/>
          <w:b w:val="0"/>
          <w:i w:val="0"/>
          <w:sz w:val="24"/>
        </w:rPr>
        <w:t xml:space="preserve"> do associations emerge—and what do neonatal findings constrain regarding prenatal versus postnatal pathways? (3) </w:t>
      </w:r>
      <w:r>
        <w:rPr>
          <w:rFonts w:ascii="Times New Roman" w:hAnsi="Times New Roman"/>
          <w:b w:val="0"/>
          <w:i/>
          <w:sz w:val="24"/>
        </w:rPr>
        <w:t>What structural gaps</w:t>
      </w:r>
      <w:r>
        <w:rPr>
          <w:rFonts w:ascii="Times New Roman" w:hAnsi="Times New Roman"/>
          <w:b w:val="0"/>
          <w:i w:val="0"/>
          <w:sz w:val="24"/>
        </w:rPr>
        <w:t xml:space="preserve"> in research design—including the operationalization of parental education itself—remain unaddressed and limit the field's ability to translate these findings into intervention?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We did not pre-register this review in PROSPERO because the descriptive narrative synthesis design does not lend itself to a prospective protocol, and no formal registration was completed prior to data collection.</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sought for all 133 records; 1 record could not be retrieved after reasonable effort (E6) and is reported separately as a not-retrieved record. Of the remaining 132 records, 23 were excluded prior to full-text review on the basis of abstract information alone (22 records) or confirmed retraction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83);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no neural outcome measure (E3, </w:t>
      </w:r>
      <w:r>
        <w:rPr>
          <w:rFonts w:ascii="Times New Roman" w:hAnsi="Times New Roman"/>
          <w:b w:val="0"/>
          <w:i/>
          <w:sz w:val="24"/>
        </w:rPr>
        <w:t>k</w:t>
      </w:r>
      <w:r>
        <w:rPr>
          <w:rFonts w:ascii="Times New Roman" w:hAnsi="Times New Roman"/>
          <w:b w:val="0"/>
          <w:i w:val="0"/>
          <w:sz w:val="24"/>
        </w:rPr>
        <w:t xml:space="preserve"> = 1); full text inaccessible despite reasonable effort (E6, </w:t>
      </w:r>
      <w:r>
        <w:rPr>
          <w:rFonts w:ascii="Times New Roman" w:hAnsi="Times New Roman"/>
          <w:b w:val="0"/>
          <w:i/>
          <w:sz w:val="24"/>
        </w:rPr>
        <w:t>k</w:t>
      </w:r>
      <w:r>
        <w:rPr>
          <w:rFonts w:ascii="Times New Roman" w:hAnsi="Times New Roman"/>
          <w:b w:val="0"/>
          <w:i w:val="0"/>
          <w:sz w:val="24"/>
        </w:rPr>
        <w:t xml:space="preserve"> = 1); and age range outside 0–8 years without eligible subgroup data (E1,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six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sought for all 133 records; 1 record could not be retrieved. Of the remaining 132 records, 23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leaving 109 for full-text assessment. Full-text review of 109 records resulted in 93 exclusions; the most common reason was that parental education lacked an independently estimable effect (E2, </w:t>
      </w:r>
      <w:r>
        <w:rPr>
          <w:rFonts w:ascii="Times New Roman" w:hAnsi="Times New Roman"/>
          <w:b w:val="0"/>
          <w:i/>
          <w:sz w:val="24"/>
        </w:rPr>
        <w:t>k</w:t>
      </w:r>
      <w:r>
        <w:rPr>
          <w:rFonts w:ascii="Times New Roman" w:hAnsi="Times New Roman"/>
          <w:b w:val="0"/>
          <w:i w:val="0"/>
          <w:sz w:val="24"/>
        </w:rPr>
        <w:t xml:space="preserve"> = 83), followed by duplicate or superseded records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and single cases each of no neural outcome (E3, </w:t>
      </w:r>
      <w:r>
        <w:rPr>
          <w:rFonts w:ascii="Times New Roman" w:hAnsi="Times New Roman"/>
          <w:b w:val="0"/>
          <w:i/>
          <w:sz w:val="24"/>
        </w:rPr>
        <w:t>k</w:t>
      </w:r>
      <w:r>
        <w:rPr>
          <w:rFonts w:ascii="Times New Roman" w:hAnsi="Times New Roman"/>
          <w:b w:val="0"/>
          <w:i w:val="0"/>
          <w:sz w:val="24"/>
        </w:rPr>
        <w:t xml:space="preserve"> = 1), full text inaccessible (E6, </w:t>
      </w:r>
      <w:r>
        <w:rPr>
          <w:rFonts w:ascii="Times New Roman" w:hAnsi="Times New Roman"/>
          <w:b w:val="0"/>
          <w:i/>
          <w:sz w:val="24"/>
        </w:rPr>
        <w:t>k</w:t>
      </w:r>
      <w:r>
        <w:rPr>
          <w:rFonts w:ascii="Times New Roman" w:hAnsi="Times New Roman"/>
          <w:b w:val="0"/>
          <w:i w:val="0"/>
          <w:sz w:val="24"/>
        </w:rPr>
        <w:t xml:space="preserve"> = 1), and age range outside target window (E1, </w:t>
      </w:r>
      <w:r>
        <w:rPr>
          <w:rFonts w:ascii="Times New Roman" w:hAnsi="Times New Roman"/>
          <w:b w:val="0"/>
          <w:i/>
          <w:sz w:val="24"/>
        </w:rPr>
        <w:t>k</w:t>
      </w:r>
      <w:r>
        <w:rPr>
          <w:rFonts w:ascii="Times New Roman" w:hAnsi="Times New Roman"/>
          <w:b w:val="0"/>
          <w:i w:val="0"/>
          <w:sz w:val="24"/>
        </w:rPr>
        <w:t xml:space="preserve"> = 1).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approximately 2,200 children across 9 countries or regions (United States, United Kingdom, Germany, Canada, Spain, Brazil, India, Norway, and a US/UK/Norway multinational cohort).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including one study in which brain volume served as a covariate rather than primary outcome; see Section 3.5.1),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one study additionally included frontal theta power analysis),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modestly beyond 8 years (Ursache &amp; Noble, 2016: 6–9 years; Demir-Lira et al., 2021: 6–13 years; Maguire &amp; Schneider, 2019: 8–15 years; Lange et al., 2010: 4–18 years); these were retained because their primary neural findings were concentrated in or began within the early childhood period, or because the study design involved longitudinal follow-up originating within the target window (see Table 1). Findings from these studies are interpreted in light of their extended age ranges.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(preterm; two MRI timepoints)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16–18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Two separate analyses were reported. First, income-group comparisons showed that children from low-income families had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Second, in an independent regression analysis, maternal education (not income group)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after controlling for income and raw EEG metrics. These two analyses address different questions and are not directly linked: the income-EEG association reflects group-level differences in cortical maturation, whereas the education-vocabulary regression demonstrates that maternal education carries unique predictive weight for lexical development beyond household financial resources. The education-vocabulary finding points to a pathway from maternal educational attainment through language input quality to lexical development that is not reducible to income-related neural differences.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two continents (North America and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error-monitoring neural responses in 52 toddlers (aged 16–18 months; final analysable sample after exclusions) in Spain. Using a passive puzzle-error observation paradigm—in which toddlers watched puzzle pieces being assembled correctly or incorrectly—the study recorded both the error-related negativity (ERN; a fronto-central time-domain component) and frontal theta power (4–7 Hz; a frequency-domain measure of the same error-detection process). Separate simple linear regressions were conducted for each SES predictor. When parental education (years of schooling) was entered as the sole predictor, it independently predicted a larger (more negative) ERN amplitude (</w:t>
      </w:r>
      <w:r>
        <w:rPr>
          <w:rFonts w:ascii="Times New Roman" w:hAnsi="Times New Roman"/>
          <w:b w:val="0"/>
          <w:i/>
          <w:sz w:val="24"/>
        </w:rPr>
        <w:t>β</w:t>
      </w:r>
      <w:r>
        <w:rPr>
          <w:rFonts w:ascii="Times New Roman" w:hAnsi="Times New Roman"/>
          <w:b w:val="0"/>
          <w:i w:val="0"/>
          <w:sz w:val="24"/>
        </w:rPr>
        <w:t xml:space="preserve"> = .31, </w:t>
      </w:r>
      <w:r>
        <w:rPr>
          <w:rFonts w:ascii="Times New Roman" w:hAnsi="Times New Roman"/>
          <w:b w:val="0"/>
          <w:i/>
          <w:sz w:val="24"/>
        </w:rPr>
        <w:t>F</w:t>
      </w:r>
      <w:r>
        <w:rPr>
          <w:rFonts w:ascii="Times New Roman" w:hAnsi="Times New Roman"/>
          <w:b w:val="0"/>
          <w:i w:val="0"/>
          <w:sz w:val="24"/>
        </w:rPr>
        <w:t xml:space="preserve">(1, 51) = 5.03,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.10). A parallel regression with the composite SES index (combining education, occupation, and income) as the sole predictor accounted for greater variance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.13), indicating that education contributes independently but that broader socioeconomic context captures additional explanatory power. Parental education showed a marginal association with frontal theta power in a third separate regression (</w:t>
      </w:r>
      <w:r>
        <w:rPr>
          <w:rFonts w:ascii="Times New Roman" w:hAnsi="Times New Roman"/>
          <w:b w:val="0"/>
          <w:i/>
          <w:sz w:val="24"/>
        </w:rPr>
        <w:t>β</w:t>
      </w:r>
      <w:r>
        <w:rPr>
          <w:rFonts w:ascii="Times New Roman" w:hAnsi="Times New Roman"/>
          <w:b w:val="0"/>
          <w:i w:val="0"/>
          <w:sz w:val="24"/>
        </w:rPr>
        <w:t xml:space="preserve"> = .25, </w:t>
      </w:r>
      <w:r>
        <w:rPr>
          <w:rFonts w:ascii="Times New Roman" w:hAnsi="Times New Roman"/>
          <w:b w:val="0"/>
          <w:i/>
          <w:sz w:val="24"/>
        </w:rPr>
        <w:t>F</w:t>
      </w:r>
      <w:r>
        <w:rPr>
          <w:rFonts w:ascii="Times New Roman" w:hAnsi="Times New Roman"/>
          <w:b w:val="0"/>
          <w:i w:val="0"/>
          <w:sz w:val="24"/>
        </w:rPr>
        <w:t xml:space="preserve">(1, 51) = 3.47, </w:t>
      </w:r>
      <w:r>
        <w:rPr>
          <w:rFonts w:ascii="Times New Roman" w:hAnsi="Times New Roman"/>
          <w:b w:val="0"/>
          <w:i/>
          <w:sz w:val="24"/>
        </w:rPr>
        <w:t>p</w:t>
      </w:r>
      <w:r>
        <w:rPr>
          <w:rFonts w:ascii="Times New Roman" w:hAnsi="Times New Roman"/>
          <w:b w:val="0"/>
          <w:i w:val="0"/>
          <w:sz w:val="24"/>
        </w:rPr>
        <w:t xml:space="preserve"> = .07). This is notable because the ERN is typically not robust until 5–6 years in Western samples (Davies et al., 2004; Torpey et al., 2009); its detectability in toddlers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across the combined sample (</w:t>
      </w:r>
      <w:r>
        <w:rPr>
          <w:rFonts w:ascii="Times New Roman" w:hAnsi="Times New Roman"/>
          <w:b w:val="0"/>
          <w:i/>
          <w:sz w:val="24"/>
        </w:rPr>
        <w:t>N</w:t>
      </w:r>
      <w:r>
        <w:rPr>
          <w:rFonts w:ascii="Times New Roman" w:hAnsi="Times New Roman"/>
          <w:b w:val="0"/>
          <w:i w:val="0"/>
          <w:sz w:val="24"/>
        </w:rPr>
        <w:t xml:space="preserve"> = 35).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all 261 infants after FDR correction and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examined hippocampal development in a longitudinal cohort of 162 very preterm neonates (</w:t>
      </w:r>
      <w:r>
        <w:rPr>
          <w:rFonts w:ascii="Times New Roman" w:hAnsi="Times New Roman"/>
          <w:b w:val="0"/>
          <w:i/>
          <w:sz w:val="24"/>
        </w:rPr>
        <w:t>N</w:t>
      </w:r>
      <w:r>
        <w:rPr>
          <w:rFonts w:ascii="Times New Roman" w:hAnsi="Times New Roman"/>
          <w:b w:val="0"/>
          <w:i w:val="0"/>
          <w:sz w:val="24"/>
        </w:rPr>
        <w:t xml:space="preserve"> = 162 with SES data; 126 with 18-month cognitive outcome) recruited at the Hospital for Sick Children, Toronto, Canada, and Children's Hospital Dritter Orden, Munich, Germany. Structural and resting-state functional MRI were acquired at two time points: early-in-life (median PMA 32.9 weeks) and at term-equivalent age (median PMA 41.1 weeks). Maternal education (categorical: high school / college–undergraduate / postgraduate) was the primary SES measure. Contrary to a simple main-effect model, maternal education did not predict neonatal hippocampal volume per se. Instead, maternal education moderated the association between anterior hippocampal volume and 18-month Bayley-III cognitive scores (</w:t>
      </w:r>
      <w:r>
        <w:rPr>
          <w:rFonts w:ascii="Times New Roman" w:hAnsi="Times New Roman"/>
          <w:b w:val="0"/>
          <w:i/>
          <w:sz w:val="24"/>
        </w:rPr>
        <w:t>p</w:t>
      </w:r>
      <w:r>
        <w:rPr>
          <w:rFonts w:ascii="Times New Roman" w:hAnsi="Times New Roman"/>
          <w:b w:val="0"/>
          <w:i w:val="0"/>
          <w:sz w:val="24"/>
        </w:rPr>
        <w:t xml:space="preserve"> = .005 for the interaction) and between hippocampal functional connectivity and cognitive outcome (</w:t>
      </w:r>
      <w:r>
        <w:rPr>
          <w:rFonts w:ascii="Times New Roman" w:hAnsi="Times New Roman"/>
          <w:b w:val="0"/>
          <w:i/>
          <w:sz w:val="24"/>
        </w:rPr>
        <w:t>p</w:t>
      </w:r>
      <w:r>
        <w:rPr>
          <w:rFonts w:ascii="Times New Roman" w:hAnsi="Times New Roman"/>
          <w:b w:val="0"/>
          <w:i w:val="0"/>
          <w:sz w:val="24"/>
        </w:rPr>
        <w:t xml:space="preserve"> = .05 for the interaction). Critically, the positive relationship between larger hippocampal volume and higher cognition was present specifically in the </w:t>
      </w:r>
      <w:r>
        <w:rPr>
          <w:rFonts w:ascii="Times New Roman" w:hAnsi="Times New Roman"/>
          <w:b/>
          <w:i w:val="0"/>
          <w:sz w:val="24"/>
        </w:rPr>
        <w:t>lowest</w:t>
      </w:r>
      <w:r>
        <w:rPr>
          <w:rFonts w:ascii="Times New Roman" w:hAnsi="Times New Roman"/>
          <w:b w:val="0"/>
          <w:i w:val="0"/>
          <w:sz w:val="24"/>
        </w:rPr>
        <w:t>-SES group (high school degree), not in higher-educated groups. This counterintuitive pattern may reflect that for infants of higher-educated parents, other environmental resources buffer cognition sufficiently that hippocampal size is no longer the limiting factor; in the most disadvantaged group, hippocampal integrity becomes a more proximal determinant of outcome. Because this is a preterm-only sample assessed within the NICU period, the findings complement but are not directly comparable to studies of term-born children; NICU-related stressors and parental involvement during hospitalization may constitute additional pathways through which maternal education influences neonatal hippocampal-cognitive coupling in this population.</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(regression coefficient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education—is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 This dimension of the home environment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prior to the accumulation of substantial postnatal experience—including full-term neonates scanned within days of birth (Ramphal et al., 2020) and very preterm infants assessed during the NICU period (McKinnon et al., 2023; Konrad et al., 2024)—prenatal mechanisms operating via maternal stress physiology and nutritional status likely contribute substantially to the observed parental education associations.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9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Among the modalities examined, DTI findings showed the strongest cross-study convergence. The arcuate fasciculus specifically warrants closer examination: two independent research groups identified this single white matter tract as the primary structural correlate of parental education (Turesky et al., 2022; Ozernov-Palchik et al., 2019), with effects spanning from approximately 8.6 months of age (</w:t>
      </w:r>
      <w:r>
        <w:rPr>
          <w:rFonts w:ascii="Times New Roman" w:hAnsi="Times New Roman"/>
          <w:b w:val="0"/>
          <w:i/>
          <w:sz w:val="24"/>
        </w:rPr>
        <w:t>r</w:t>
      </w:r>
      <w:r>
        <w:rPr>
          <w:rFonts w:ascii="Times New Roman" w:hAnsi="Times New Roman"/>
          <w:b w:val="0"/>
          <w:i w:val="0"/>
          <w:sz w:val="24"/>
        </w:rPr>
        <w:t xml:space="preserve"> = 0.48; Turesky et al., 2022) through ages 5–8 years (</w:t>
      </w:r>
      <w:r>
        <w:rPr>
          <w:rFonts w:ascii="Times New Roman" w:hAnsi="Times New Roman"/>
          <w:b w:val="0"/>
          <w:i/>
          <w:sz w:val="24"/>
        </w:rPr>
        <w:t>r</w:t>
      </w:r>
      <w:r>
        <w:rPr>
          <w:rFonts w:ascii="Times New Roman" w:hAnsi="Times New Roman"/>
          <w:b w:val="0"/>
          <w:i w:val="0"/>
          <w:sz w:val="24"/>
        </w:rPr>
        <w:t xml:space="preserve"> = 0.33; Ozernov-Palchik et al., 2019). Critically, in the larger school-age sample, the education–arcuate FA association persisted after explicitly controlling for household income, indicating that parental education captures something qualitatively distinct from financial resources—most plausibly the quantity and quality of language directed at the child. The arcuate fasciculus is also the white matter tract most consistently implicated in reading acquisition and reading disability (Catani &amp; Mesulam, 2008; Yeatman et al., 2012), suggesting that the parental education effects documented here may represent early neurodevelopmental precursors to the individual differences in phonological processing and reading ability observed at school entry—differences measurable both through white matter microstructure and through electrophysiological indices of language processing.</w:t>
      </w:r>
    </w:p>
    <w:p>
      <w:pPr>
        <w:jc w:val="left"/>
        <w:spacing w:before="0" w:after="120" w:line="480" w:lineRule="auto"/>
      </w:pPr>
      <w:r>
        <w:rPr>
          <w:rFonts w:ascii="Times New Roman" w:hAnsi="Times New Roman"/>
          <w:b w:val="0"/>
          <w:i w:val="0"/>
          <w:sz w:val="24"/>
        </w:rPr>
        <w:t xml:space="preserve">The directional consistency of 15 of 16 studies masks meaningful variation in the </w:t>
      </w:r>
      <w:r>
        <w:rPr>
          <w:rFonts w:ascii="Times New Roman" w:hAnsi="Times New Roman"/>
          <w:b w:val="0"/>
          <w:i/>
          <w:sz w:val="24"/>
        </w:rPr>
        <w:t>cross-study convergence</w:t>
      </w:r>
      <w:r>
        <w:rPr>
          <w:rFonts w:ascii="Times New Roman" w:hAnsi="Times New Roman"/>
          <w:b w:val="0"/>
          <w:i w:val="0"/>
          <w:sz w:val="24"/>
        </w:rPr>
        <w:t xml:space="preserve"> and </w:t>
      </w:r>
      <w:r>
        <w:rPr>
          <w:rFonts w:ascii="Times New Roman" w:hAnsi="Times New Roman"/>
          <w:b w:val="0"/>
          <w:i/>
          <w:sz w:val="24"/>
        </w:rPr>
        <w:t>effect robustness</w:t>
      </w:r>
      <w:r>
        <w:rPr>
          <w:rFonts w:ascii="Times New Roman" w:hAnsi="Times New Roman"/>
          <w:b w:val="0"/>
          <w:i w:val="0"/>
          <w:sz w:val="24"/>
        </w:rPr>
        <w:t xml:space="preserve"> of different neural indices. Structural MRI effects were positive across all five included studies but distributed across multiple morphometric indices—cortical surface area, grey matter volume, cerebellar growth—without convergence on a specific circuit. ERP findings were the most context-dependent: the direction of association was moderated by the cultural and linguistic composition of the sample (see Section 4.3.3), limiting the generalisability of any single ERP finding across populations. DTI findings, as described above, showed the strongest convergence, with the arcuate fasciculus identified independently across two studies, the association surviving income control in the larger sample, and the effect detectable from infancy through early school age. This convergence pattern—across independent research groups, across a developmental span of approximately five years, and robust to income control—identifies arcuate fasciculus FA as the most empirically supported neural correlate of parental education in early childhood. Whether this index carries individual-level predictive validity (i.e., adequate sensitivity and specificity for identifying children at neurodevelopmental risk) remains untested. This gap is not a limitation of the present review, but of the field: none of the 16 studies employed pre-specified diagnostic accuracy designs. Addressing this requires dedicated ROC studies, and constitutes a priority for future translational research.</w:t>
      </w:r>
    </w:p>
    <w:p>
      <w:pPr>
        <w:jc w:val="left"/>
        <w:spacing w:before="0" w:after="120" w:line="480" w:lineRule="auto"/>
      </w:pPr>
      <w:r>
        <w:rPr>
          <w:rFonts w:ascii="Times New Roman" w:hAnsi="Times New Roman"/>
          <w:b w:val="0"/>
          <w:i w:val="0"/>
          <w:sz w:val="24"/>
        </w:rPr>
        <w:t>A third finding, visible only through systematic review, concerns a pervasive asymmetry in how parental education has been operationalized across the neuroimaging literature. Of the 16 included studies, 7 measured maternal education only, 9 reported a combined parental education index (mean or highest attainment), and none—not a single study—separately reported associations for both maternal and paternal education. This complete absence is not a statistical artifact of our inclusion criteria; it reflects a pervasive, unexamined assumption in the field that maternal education is the sole or primary operative variable for early neurodevelopment. Whether paternal education carries independent, distinct, or interactive effects—potentially through mechanisms such as play-based language interaction, literacy modelling, or household economic buffering—remains entirely unknown. The present review cannot adjudicate this question: the systematic absence of paternal education data in all 16 studies renders it unanswerable from the current evidence base. This represents a structural gap in the neuroimaging literature with direct implications for the design of family-based interventions and for theories of environmental influence on early brain development.</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across five neurodevelopmental phases</w:t>
      </w:r>
    </w:p>
    <w:p>
      <w:pPr>
        <w:jc w:val="left"/>
        <w:spacing w:before="0" w:after="120" w:line="480" w:lineRule="auto"/>
      </w:pPr>
      <w:r>
        <w:rPr>
          <w:rFonts w:ascii="Times New Roman" w:hAnsi="Times New Roman"/>
          <w:b w:val="0"/>
          <w:i w:val="0"/>
          <w:sz w:val="24"/>
        </w:rPr>
        <w:t>The age distribution of included studies maps onto five neurodevelopmentally meaningful phases, each characterised by distinct brain maturational processes (see Figure 4). This framing clarifies when parental education associations first emerge, how they evolve across development, and where evidence gaps remain.</w:t>
      </w:r>
    </w:p>
    <w:p>
      <w:pPr>
        <w:jc w:val="left"/>
        <w:spacing w:before="0" w:after="120" w:line="480" w:lineRule="auto"/>
      </w:pPr>
      <w:r>
        <w:rPr>
          <w:rFonts w:ascii="Times New Roman" w:hAnsi="Times New Roman"/>
          <w:b/>
          <w:i w:val="0"/>
          <w:sz w:val="24"/>
        </w:rPr>
        <w:t>Phase 1: Perinatal and neonatal period (0–1 month).</w:t>
      </w:r>
      <w:r>
        <w:rPr>
          <w:rFonts w:ascii="Times New Roman" w:hAnsi="Times New Roman"/>
          <w:b w:val="0"/>
          <w:i w:val="0"/>
          <w:sz w:val="24"/>
        </w:rPr>
        <w:t xml:space="preserve"> Three studies examined neural outcomes within days to weeks of birth (McKinnon et al., 2023; Konrad et al., 2024; Ramphal et al., 2020). This phase is defined by rapid cortical surface area expansion, establishment of long-range white matter connections, and the organisation of resting-state functional networks—all processes that can be influenced by the prenatal environment before postnatal experience has accrued. The convergence of three independent neonatal findings across structural MRI and functional MRI modalities constitutes the review's strongest evidence for a prenatal, in utero pathway from maternal education to fetal neural development.</w:t>
      </w:r>
    </w:p>
    <w:p>
      <w:pPr>
        <w:jc w:val="left"/>
        <w:spacing w:before="0" w:after="120" w:line="480" w:lineRule="auto"/>
      </w:pPr>
      <w:r>
        <w:rPr>
          <w:rFonts w:ascii="Times New Roman" w:hAnsi="Times New Roman"/>
          <w:b/>
          <w:i w:val="0"/>
          <w:sz w:val="24"/>
        </w:rPr>
        <w:t>Phase 2: Infancy (1–24 months).</w:t>
      </w:r>
      <w:r>
        <w:rPr>
          <w:rFonts w:ascii="Times New Roman" w:hAnsi="Times New Roman"/>
          <w:b w:val="0"/>
          <w:i w:val="0"/>
          <w:sz w:val="24"/>
        </w:rPr>
        <w:t xml:space="preserve"> Six studies focused on infants within the first two years of life (Brito &amp; Noble, 2020; Wienke et al., 2024; Shephard et al., 2019; Turesky et al., 2022; Conejero et al., 2018; Stiver et al., 2015). This phase is characterised by the onset of myelination in long-range association tracts, the emergence of alpha rhythms as markers of thalamocortical organisation, and rapid growth of the arcuate fasciculus—the white matter pathway linking perisylvian language regions. The finding that maternal education predicts arcuate fasciculus FA as early as 8–9 months (Turesky et al., 2022), alongside education-related differences in resting-state EEG power (Brito &amp; Noble, 2020; Shephard et al., 2019), indicates that parental education effects on both white matter structure and electrophysiological organisation are already detectable within the first year of life.</w:t>
      </w:r>
    </w:p>
    <w:p>
      <w:pPr>
        <w:jc w:val="left"/>
        <w:spacing w:before="0" w:after="120" w:line="480" w:lineRule="auto"/>
      </w:pPr>
      <w:r>
        <w:rPr>
          <w:rFonts w:ascii="Times New Roman" w:hAnsi="Times New Roman"/>
          <w:b/>
          <w:i w:val="0"/>
          <w:sz w:val="24"/>
        </w:rPr>
        <w:t>Phase 3: Preschool period (2–6 years).</w:t>
      </w:r>
      <w:r>
        <w:rPr>
          <w:rFonts w:ascii="Times New Roman" w:hAnsi="Times New Roman"/>
          <w:b w:val="0"/>
          <w:i w:val="0"/>
          <w:sz w:val="24"/>
        </w:rPr>
        <w:t xml:space="preserve"> This developmental phase—characterised by peak synaptic pruning, the emergence of executive function, and the formation of fronto-parietal control networks—is conspicuously underrepresented in the current evidence base. No included study focused exclusively on 2–5 year olds, with only partial coverage from longitudinal designs spanning this range (Zhu et al., 2023; Ramphal et al., 2020 follow-up). This gap likely reflects methodological challenges: structural and functional neuroimaging in awake preschool-age children is technically demanding, and electrophysiological paradigms suitable for this age group require careful adaptation. The preschool period represents a high-priority target for future research, given that this is precisely when parental language input and cognitive stimulation are most intensively shaping prefrontal and language networks.</w:t>
      </w:r>
    </w:p>
    <w:p>
      <w:pPr>
        <w:jc w:val="left"/>
        <w:spacing w:before="0" w:after="120" w:line="480" w:lineRule="auto"/>
      </w:pPr>
      <w:r>
        <w:rPr>
          <w:rFonts w:ascii="Times New Roman" w:hAnsi="Times New Roman"/>
          <w:b/>
          <w:i w:val="0"/>
          <w:sz w:val="24"/>
        </w:rPr>
        <w:t>Phase 4: Early school age (6–8 years).</w:t>
      </w:r>
      <w:r>
        <w:rPr>
          <w:rFonts w:ascii="Times New Roman" w:hAnsi="Times New Roman"/>
          <w:b w:val="0"/>
          <w:i w:val="0"/>
          <w:sz w:val="24"/>
        </w:rPr>
        <w:t xml:space="preserve"> Four studies examined children within the early school-age window (Wijeakumar et al., 2019; Ozernov-Palchik et al., 2019; Ursache &amp; Noble, 2016 primary subsample; Zhu et al., 2023 endpoint). This phase is marked by continued myelination of the arcuate fasciculus, consolidation of reading-related neural circuits, and maturation of frontoparietal executive control networks. The finding that parental education independently predicts arcuate fasciculus FA at 5–8 years (Ozernov-Palchik et al., 2019), even after controlling for household income, suggests that education-related advantages in white matter organisation—first detectable in infancy—have widened by school entry and are associated with the development of reading readiness.</w:t>
      </w:r>
    </w:p>
    <w:p>
      <w:pPr>
        <w:jc w:val="left"/>
        <w:spacing w:before="0" w:after="120" w:line="480" w:lineRule="auto"/>
      </w:pPr>
      <w:r>
        <w:rPr>
          <w:rFonts w:ascii="Times New Roman" w:hAnsi="Times New Roman"/>
          <w:b/>
          <w:i w:val="0"/>
          <w:sz w:val="24"/>
        </w:rPr>
        <w:t>Phase 5: Middle childhood and beyond (8+ years; beyond the primary target window).</w:t>
      </w:r>
      <w:r>
        <w:rPr>
          <w:rFonts w:ascii="Times New Roman" w:hAnsi="Times New Roman"/>
          <w:b w:val="0"/>
          <w:i w:val="0"/>
          <w:sz w:val="24"/>
        </w:rPr>
        <w:t xml:space="preserve"> Four studies included participants extending beyond 8 years (Ursache &amp; Noble, 2016: to 9 years; Demir-Lira et al., 2021: to 13 years; Maguire &amp; Schneider, 2019: to 15 years; Lange et al., 2010: to 18 years). These findings demonstrate that parental education associations with neural outcomes persist well into middle childhood and adolescence, consistent with cumulative environmental exposure models. However, given that these studies extend beyond the review's primary age window, their findings are interpreted as complementary rather than central evidence, and are included to contextualise the early childhood findings within a broader developmental trajectory.</w:t>
      </w:r>
    </w:p>
    <w:p>
      <w:pPr>
        <w:jc w:val="left"/>
        <w:spacing w:before="0" w:after="120" w:line="480" w:lineRule="auto"/>
      </w:pPr>
      <w:r>
        <w:rPr>
          <w:rFonts w:ascii="Times New Roman" w:hAnsi="Times New Roman"/>
          <w:b w:val="0"/>
          <w:i w:val="0"/>
          <w:sz w:val="24"/>
        </w:rPr>
        <w:t>Taken together, this phase-based synthesis reveals an asymmetric evidence base: the perinatal and infancy phases are relatively well covered (nine studies), the early school-age phase has moderate coverage (four studies), middle childhood is represented by four studies that extend beyond the primary window, and the preschool phase remains an evidence gap. Future reviews with an expanded age scope, or primary studies targeting the 2–6 year window, are needed to complete the developmental picture.</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 Brito &amp; Noble (2020)‡</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‡Brito &amp; Noble (2020) is included in the language-network category because posterior alpha/beta power in infancy serves as a general index of thalamocortical maturation supporting early language processing (Marshall &amp; Meltzoff, 2014), though this categorisation is indirect; the association also did not survive FDR correction (see §4.3.4). †Lange et al. (2010) is categorised under global morphometry for tabulation purposes; its primary finding was an association between parental education and verbal IQ, with brain volume included as a covariate rather than a primary neural outcome (see §3.5.1).</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birth through 8 years, is counted in the Childhood window only.</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established associations detectable before substantial postnatal experience had accrued: one scanning full-term infants within four days of birth (Ramphal et al., 2020) and two examining very preterm infants during the NICU period at term-equivalent age (McKinnon et al., 2023; Konrad et al., 2024), all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 Note: Zhu et al. (2023), whose longitudinal MRI assessments spanned birth through 8 years, is counted only in the Childhood window below and is not included in the k = 9 above.</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 study in this review examined parental education effects on neural development in children aged 3–5 years—a period of rapid vocabulary growth and emerging executive function (Diamond, 2013). This is the most critical missing window in the current evidence base, discussed further in Section 4.6.</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across their birth-to-8-year assessment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 xml:space="preserve">A potential methodological moderator is how parental education was measured. Across 16 studies, two distinct classification dimensions are relevant. In terms of </w:t>
      </w:r>
      <w:r>
        <w:rPr>
          <w:rFonts w:ascii="Times New Roman" w:hAnsi="Times New Roman"/>
          <w:b/>
          <w:i w:val="0"/>
          <w:sz w:val="24"/>
        </w:rPr>
        <w:t>operationalization independence</w:t>
      </w:r>
      <w:r>
        <w:rPr>
          <w:rFonts w:ascii="Times New Roman" w:hAnsi="Times New Roman"/>
          <w:b w:val="0"/>
          <w:i w:val="0"/>
          <w:sz w:val="24"/>
        </w:rPr>
        <w:t xml:space="preserve">, education was the sole SES exposure in 9 studies (edu-only) and one component of a composite SES index with a separately estimable coefficient in 7 studies (composite-separable). In terms of </w:t>
      </w:r>
      <w:r>
        <w:rPr>
          <w:rFonts w:ascii="Times New Roman" w:hAnsi="Times New Roman"/>
          <w:b/>
          <w:i w:val="0"/>
          <w:sz w:val="24"/>
        </w:rPr>
        <w:t>measurement format</w:t>
      </w:r>
      <w:r>
        <w:rPr>
          <w:rFonts w:ascii="Times New Roman" w:hAnsi="Times New Roman"/>
          <w:b w:val="0"/>
          <w:i w:val="0"/>
          <w:sz w:val="24"/>
        </w:rPr>
        <w:t xml:space="preserve">, education was operationalized as continuous years of schooling in approximately 9 studies, and as categorical degree attainment (e.g., university vs. lower) in approximately 6 studies; one study (Ramphal et al., 2020) did not specify the format precisely. These two dimensions are orthogonal: studies with composite-separable operationalizations used both continuous and categorical formats.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below,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162 very preterm neonates with two MRI acquisitions spanning the NICU period, found that maternal education moderated the relationship between neonatal hippocampal development and 18-month cognitive outcome—demonstrating that the functional significance of early hippocampal organization is already shaped by maternal education within the preterm period, before substantial independent postnatal experience accrues.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 (Monk et al., 2013)—are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findings were heterogeneous across the two included studies: Conejero et al. (2018) found larger ERN amplitude at fronto-central electrodes associated with higher parental education, consistent with more advanced error-monitoring development; Wienke et al. (2024), using an MMN paradigm targeting auditory discrimination, produced the review's only negative result. The ERP evidence therefore does not converge on a consistent pattern, and this modality is noted here for completeness rather than as evidence of cross-modal convergence. In fNIRS, greater inferior frontal gyrus activation was found. In fMRI, effects clustered in medial prefrontal cortex (amygdala–PFC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7 of 16 studies operationalized education specifically as maternal education; the remaining 9 studies used a combined or highest-parental measure.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Where this review's findings reflect primarily maternal education associations (7 studies), caution is warranted in generalising conclusions to paternal or combined-parental education effects.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9 countries or regions,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A sensitivity analysis restricted to the 12 studies with participants entirely within the 0–8 year window yielded consistent findings: 11 of 12 (92%) reported positive associations, and the arcuate fasciculus and neonatal effects remained the most prominent results. This indicates that inclusion of the four studies extending beyond 8 years did not materially alter the review's conclusions, and that the 0–8 year literature alone is sufficient to support the three principal findings of this review.</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second, distinct form of selection bias. Studies in which parental education showed no independent association with neural outcomes are more likely to have operationalized education as part of a composite index without a separately reported coefficient—and thus be excluded under the E2 criterion. The high positive rate observed in this review may therefore partly reflect the structure of the inclusion criterion rather than solely the biological reality. This source of selection bias is conceptually separable from publication bias: it operates at the level of how parental education was modelled (and thus reported) rather than at the level of whether null studies were submitted for publication. Readers should interpret the directional consistency with awareness that the reviewed evidence base is necessarily drawn from studies in which an independent education signal was sufficiently prominent to be modelled and reported separately, and that both publication bias and inclusion-criterion selection may jointly contribute to the observed proportion of positive findings.</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Branigan et al., 2013).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jc w:val="left"/>
        <w:spacing w:before="0" w:after="120" w:line="480" w:lineRule="auto"/>
      </w:pPr>
      <w:r>
        <w:rPr>
          <w:rFonts w:ascii="Times New Roman" w:hAnsi="Times New Roman"/>
          <w:b w:val="0"/>
          <w:i w:val="0"/>
          <w:sz w:val="24"/>
        </w:rPr>
        <w:t>Finally, this review was not pre-registered in PROSPERO. As a narrative synthesis without a prospective analysis protocol, formal registration was not completed prior to data collection; this is acknowledged as a limitation in line with PRISMA 2020 transparency standards.</w:t>
      </w:r>
    </w:p>
    <w:p>
      <w:pPr>
        <w:jc w:val="left"/>
        <w:spacing w:before="0" w:after="120" w:line="480" w:lineRule="auto"/>
      </w:pPr>
      <w:r>
        <w:rPr>
          <w:rFonts w:ascii="Times New Roman" w:hAnsi="Times New Roman"/>
          <w:b w:val="0"/>
          <w:i w:val="0"/>
          <w:sz w:val="24"/>
        </w:rPr>
        <w:t>Establishing whether prenatal mechanisms—suggested by three neonatal studies in this review—are a necessary rather than merely contributory component of the parental education–neural development association would require studies coupling prenatal biomarkers (cortisol, placental function, fetal brain imaging) with postnatal neural outcomes; this represents a high-priority future research agenda.</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emerging as early as the neonatal period and persisting through middle childhood. Effects are concentrated in language and executive control networks—the neural substrates of the behavioral domains most consistently associated with parental education in the developmental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Branigan, A. R., McCallum, K. J., &amp; Freese, J. (2013). Variation in the heritability of educational attainment: An international meta-analysis. </w:t>
      </w:r>
      <w:r>
        <w:rPr>
          <w:rFonts w:ascii="Times New Roman" w:hAnsi="Times New Roman"/>
          <w:b w:val="0"/>
          <w:i/>
          <w:sz w:val="24"/>
        </w:rPr>
        <w:t>Social Forces</w:t>
      </w:r>
      <w:r>
        <w:rPr>
          <w:rFonts w:ascii="Times New Roman" w:hAnsi="Times New Roman"/>
          <w:b w:val="0"/>
          <w:i w:val="0"/>
          <w:sz w:val="24"/>
        </w:rPr>
        <w:t xml:space="preserve">, </w:t>
      </w:r>
      <w:r>
        <w:rPr>
          <w:rFonts w:ascii="Times New Roman" w:hAnsi="Times New Roman"/>
          <w:b w:val="0"/>
          <w:i/>
          <w:sz w:val="24"/>
        </w:rPr>
        <w:t>92</w:t>
      </w:r>
      <w:r>
        <w:rPr>
          <w:rFonts w:ascii="Times New Roman" w:hAnsi="Times New Roman"/>
          <w:b w:val="0"/>
          <w:i w:val="0"/>
          <w:sz w:val="24"/>
        </w:rPr>
        <w:t>(1), 109–140. https://doi.org/10.1093/sf/sot076</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 https://doi.org/10.1002/wcs.1185</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 https://doi.org/10.1038/nrn2844</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 Publishing Co.</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 https://doi.org/10.1037/a0030612</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 https://doi.org/10.1523/JNEUROSCI.3479-08.2008</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 https://doi.org/10.1111/j.1749-6632.2009.05437.x</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 https://doi.org/10.1038/nn.3983</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Shonkoff, J. P., Garner, A. S., Committee on Psychosocial Aspects of Child and Family Health, Committee on Early Childhood, Adoption, and Dependent Care, &amp;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 https://doi.org/10.1007/s11065-010-9148-4</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 https://doi.org/10.1097/YCO.0b013e3283387d9f</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UNESCO. (2010). </w:t>
      </w:r>
      <w:r>
        <w:rPr>
          <w:rFonts w:ascii="Times New Roman" w:hAnsi="Times New Roman"/>
          <w:b w:val="0"/>
          <w:i/>
          <w:sz w:val="24"/>
        </w:rPr>
        <w:t>World conference on early childhood care and education: Building the wealth of nations</w:t>
      </w:r>
      <w:r>
        <w:rPr>
          <w:rFonts w:ascii="Times New Roman" w:hAnsi="Times New Roman"/>
          <w:b w:val="0"/>
          <w:i w:val="0"/>
          <w:sz w:val="24"/>
        </w:rPr>
        <w:t>. UNESCO. https://unesdoc.unesco.org/ark:/48223/pf0000190776</w:t>
      </w:r>
    </w:p>
    <w:p>
      <w:pPr>
        <w:jc w:val="left"/>
        <w:spacing w:before="0" w:after="120" w:line="480" w:lineRule="auto"/>
      </w:pPr>
      <w:r>
        <w:rPr>
          <w:rFonts w:ascii="Times New Roman" w:hAnsi="Times New Roman"/>
          <w:b w:val="0"/>
          <w:i w:val="0"/>
          <w:sz w:val="24"/>
        </w:rPr>
        <w:t xml:space="preserve">World Health Organization. (2007). </w:t>
      </w:r>
      <w:r>
        <w:rPr>
          <w:rFonts w:ascii="Times New Roman" w:hAnsi="Times New Roman"/>
          <w:b w:val="0"/>
          <w:i/>
          <w:sz w:val="24"/>
        </w:rPr>
        <w:t>Early child development: A powerful equalizer</w:t>
      </w:r>
      <w:r>
        <w:rPr>
          <w:rFonts w:ascii="Times New Roman" w:hAnsi="Times New Roman"/>
          <w:b w:val="0"/>
          <w:i w:val="0"/>
          <w:sz w:val="24"/>
        </w:rPr>
        <w:t>. WHO Press. https://www.who.int/publications/i/item/early-child-development-a-powerful-equalizer</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lnNumType w:countBy="1" w:restart="newPag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