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0" w:after="240" w:line="360" w:lineRule="auto"/>
      </w:pPr>
      <w:r>
        <w:rPr>
          <w:rFonts w:ascii="Times New Roman" w:hAnsi="Times New Roman"/>
          <w:b/>
          <w:sz w:val="28"/>
        </w:rPr>
        <w:t>Parental education level and neural development in young children: a systematic review of EEG, ERP, fNIRS, and neuroimaging evidence</w:t>
      </w:r>
    </w:p>
    <w:p>
      <w:pPr>
        <w:jc w:val="center"/>
        <w:spacing w:before="120" w:after="40" w:line="360" w:lineRule="auto"/>
      </w:pPr>
      <w:r>
        <w:rPr>
          <w:rFonts w:ascii="Times New Roman" w:hAnsi="Times New Roman"/>
          <w:b/>
          <w:i w:val="0"/>
          <w:sz w:val="24"/>
        </w:rPr>
        <w:t>Authors:</w:t>
      </w:r>
      <w:r>
        <w:rPr>
          <w:rFonts w:ascii="Times New Roman" w:hAnsi="Times New Roman"/>
          <w:b w:val="0"/>
          <w:i w:val="0"/>
          <w:sz w:val="24"/>
        </w:rPr>
        <w:t xml:space="preserve"> [Author 1 Name]¹, [Author 2 Name]²</w:t>
      </w:r>
      <w:r>
        <w:rPr>
          <w:rFonts w:ascii="Times New Roman" w:hAnsi="Times New Roman"/>
          <w:b w:val="0"/>
          <w:i w:val="0"/>
          <w:sz w:val="24"/>
        </w:rPr>
        <w:t>, [Author 3 Name]¹</w:t>
      </w:r>
    </w:p>
    <w:p>
      <w:pPr>
        <w:jc w:val="center"/>
        <w:spacing w:before="80" w:after="0" w:line="288" w:lineRule="auto"/>
      </w:pPr>
      <w:r>
        <w:rPr>
          <w:rFonts w:ascii="Times New Roman" w:hAnsi="Times New Roman"/>
          <w:b/>
          <w:i w:val="0"/>
          <w:sz w:val="24"/>
        </w:rPr>
        <w:t>Affiliations:</w:t>
      </w:r>
    </w:p>
    <w:p>
      <w:pPr>
        <w:jc w:val="center"/>
        <w:spacing w:before="0" w:after="0" w:line="288" w:lineRule="auto"/>
      </w:pPr>
      <w:r>
        <w:rPr>
          <w:rFonts w:ascii="Times New Roman" w:hAnsi="Times New Roman"/>
          <w:b w:val="0"/>
          <w:i w:val="0"/>
          <w:sz w:val="24"/>
        </w:rPr>
        <w:t>¹ [Department, Institution, City, Country]</w:t>
      </w:r>
    </w:p>
    <w:p>
      <w:pPr>
        <w:jc w:val="center"/>
        <w:spacing w:before="0" w:after="0" w:line="288" w:lineRule="auto"/>
      </w:pPr>
      <w:r>
        <w:rPr>
          <w:rFonts w:ascii="Times New Roman" w:hAnsi="Times New Roman"/>
          <w:b w:val="0"/>
          <w:i w:val="0"/>
          <w:sz w:val="24"/>
        </w:rPr>
        <w:t>² [Department, Institution, City, Country]</w:t>
      </w:r>
    </w:p>
    <w:p>
      <w:pPr>
        <w:jc w:val="center"/>
        <w:spacing w:before="120" w:after="240" w:line="360" w:lineRule="auto"/>
      </w:pPr>
      <w:r>
        <w:rPr>
          <w:rFonts w:ascii="Times New Roman" w:hAnsi="Times New Roman"/>
          <w:b/>
          <w:i w:val="0"/>
          <w:sz w:val="24"/>
        </w:rPr>
        <w:t>Corresponding author:</w:t>
      </w:r>
      <w:r>
        <w:rPr>
          <w:rFonts w:ascii="Times New Roman" w:hAnsi="Times New Roman"/>
          <w:b w:val="0"/>
          <w:i w:val="0"/>
          <w:sz w:val="24"/>
        </w:rPr>
        <w:t xml:space="preserve"> [Author Name], [Department, Institution, Address]. Email: [email@institution.edu]</w:t>
      </w:r>
    </w:p>
    <w:p>
      <w:pPr>
        <w:jc w:val="left"/>
        <w:spacing w:before="0" w:after="120" w:line="480" w:lineRule="auto"/>
      </w:pPr>
      <w:r>
        <w:rPr>
          <w:rFonts w:ascii="Times New Roman" w:hAnsi="Times New Roman"/>
          <w:b/>
          <w:i w:val="0"/>
          <w:sz w:val="24"/>
        </w:rPr>
        <w:t>Target journal</w:t>
      </w:r>
      <w:r>
        <w:rPr>
          <w:rFonts w:ascii="Times New Roman" w:hAnsi="Times New Roman"/>
          <w:b w:val="0"/>
          <w:i w:val="0"/>
          <w:sz w:val="24"/>
        </w:rPr>
        <w:t>: Developmental Cognitive Neuroscience (Q1, IF ≈ 4.5)</w:t>
      </w:r>
    </w:p>
    <w:p>
      <w:pPr>
        <w:pStyle w:val="Heading1"/>
        <w:spacing w:before="240" w:after="60" w:line="360" w:lineRule="auto"/>
      </w:pPr>
      <w:r>
        <w:rPr>
          <w:rFonts w:ascii="Times New Roman" w:hAnsi="Times New Roman"/>
          <w:b/>
          <w:sz w:val="28"/>
        </w:rPr>
        <w:t>Abstract</w:t>
      </w:r>
    </w:p>
    <w:p>
      <w:pPr>
        <w:jc w:val="left"/>
        <w:spacing w:before="0" w:after="120" w:line="480" w:lineRule="auto"/>
      </w:pPr>
      <w:r>
        <w:rPr>
          <w:rFonts w:ascii="Times New Roman" w:hAnsi="Times New Roman"/>
          <w:b/>
          <w:i w:val="0"/>
          <w:sz w:val="24"/>
        </w:rPr>
        <w:t xml:space="preserve">Background: </w:t>
      </w:r>
      <w:r>
        <w:rPr>
          <w:rFonts w:ascii="Times New Roman" w:hAnsi="Times New Roman"/>
          <w:b w:val="0"/>
          <w:i w:val="0"/>
          <w:sz w:val="24"/>
        </w:rPr>
        <w:t>Parental education level predicts children's cognitive outcomes, yet its neural correlates in early childhood have not been synthesised across measurement modalities.</w:t>
      </w:r>
    </w:p>
    <w:p>
      <w:pPr>
        <w:jc w:val="left"/>
        <w:spacing w:before="0" w:after="120" w:line="480" w:lineRule="auto"/>
      </w:pPr>
      <w:r>
        <w:rPr>
          <w:rFonts w:ascii="Times New Roman" w:hAnsi="Times New Roman"/>
          <w:b/>
          <w:i w:val="0"/>
          <w:sz w:val="24"/>
        </w:rPr>
        <w:t xml:space="preserve">Objective: </w:t>
      </w:r>
      <w:r>
        <w:rPr>
          <w:rFonts w:ascii="Times New Roman" w:hAnsi="Times New Roman"/>
          <w:b w:val="0"/>
          <w:i w:val="0"/>
          <w:sz w:val="24"/>
        </w:rPr>
        <w:t>To systematically review associations between parental education and neural development in young children (primarily aged 0–8 years), examining which neural indices show the most consistent effects, from what developmental point associations emerge, and what structural gaps remain in research design.</w:t>
      </w:r>
    </w:p>
    <w:p>
      <w:pPr>
        <w:jc w:val="left"/>
        <w:spacing w:before="0" w:after="120" w:line="480" w:lineRule="auto"/>
      </w:pPr>
      <w:r>
        <w:rPr>
          <w:rFonts w:ascii="Times New Roman" w:hAnsi="Times New Roman"/>
          <w:b/>
          <w:i w:val="0"/>
          <w:sz w:val="24"/>
        </w:rPr>
        <w:t xml:space="preserve">Methods: </w:t>
      </w:r>
      <w:r>
        <w:rPr>
          <w:rFonts w:ascii="Times New Roman" w:hAnsi="Times New Roman"/>
          <w:b w:val="0"/>
          <w:i w:val="0"/>
          <w:sz w:val="24"/>
        </w:rPr>
        <w:t>We searched PubMed/MEDLINE, PsycINFO, Web of Science, and Scopus (inception to April 2026) following PRISMA 2020 guidelines. Inclusion required an independently estimable parental education association with a direct neural outcome in children primarily aged 0–8 years. Quality was assessed using the Newcastle–Ottawa Scale.</w:t>
      </w:r>
    </w:p>
    <w:p>
      <w:pPr>
        <w:jc w:val="left"/>
        <w:spacing w:before="0" w:after="120" w:line="480" w:lineRule="auto"/>
      </w:pPr>
      <w:r>
        <w:rPr>
          <w:rFonts w:ascii="Times New Roman" w:hAnsi="Times New Roman"/>
          <w:b/>
          <w:i w:val="0"/>
          <w:sz w:val="24"/>
        </w:rPr>
        <w:t xml:space="preserve">Results: </w:t>
      </w:r>
      <w:r>
        <w:rPr>
          <w:rFonts w:ascii="Times New Roman" w:hAnsi="Times New Roman"/>
          <w:b w:val="0"/>
          <w:i w:val="0"/>
          <w:sz w:val="24"/>
        </w:rPr>
        <w:t>Sixteen studies (</w:t>
      </w:r>
      <w:r>
        <w:rPr>
          <w:rFonts w:ascii="Times New Roman" w:hAnsi="Times New Roman"/>
          <w:b w:val="0"/>
          <w:i/>
          <w:sz w:val="24"/>
        </w:rPr>
        <w:t>N</w:t>
      </w:r>
      <w:r>
        <w:rPr>
          <w:rFonts w:ascii="Times New Roman" w:hAnsi="Times New Roman"/>
          <w:b w:val="0"/>
          <w:i w:val="0"/>
          <w:sz w:val="24"/>
        </w:rPr>
        <w:t xml:space="preserve"> = 26–373; 9 countries or regions) met inclusion criteria. Across six modalities, 15 of 16 (94%) reported a positive association between higher parental education and more mature neural indices. Three neonatal studies indicated associations detectable before substantial postnatal experience had accrued; one study reported a negative pattern attributable to migration-related linguistic heterogeneity.</w:t>
      </w:r>
    </w:p>
    <w:p>
      <w:pPr>
        <w:jc w:val="left"/>
        <w:spacing w:before="0" w:after="120" w:line="480" w:lineRule="auto"/>
      </w:pPr>
      <w:r>
        <w:rPr>
          <w:rFonts w:ascii="Times New Roman" w:hAnsi="Times New Roman"/>
          <w:b/>
          <w:i w:val="0"/>
          <w:sz w:val="24"/>
        </w:rPr>
        <w:t xml:space="preserve">Conclusions: </w:t>
      </w:r>
      <w:r>
        <w:rPr>
          <w:rFonts w:ascii="Times New Roman" w:hAnsi="Times New Roman"/>
          <w:b w:val="0"/>
          <w:i w:val="0"/>
          <w:sz w:val="24"/>
        </w:rPr>
        <w:t>Higher parental education is consistently associated with more advanced neural development across six modalities. Arcuate fasciculus fractional anisotropy was the most robust correlate—detectable at 8.6 months, replicated at ages 5–8 years, and independent of household income—suggesting a pathway through language-circuit development to reading readiness. Individual-level predictive validity remains untested; no study used diagnostic accuracy designs. No study separately examined maternal versus paternal education, an unexamined assumption that constrains theory and intervention design.</w:t>
      </w:r>
    </w:p>
    <w:p>
      <w:pPr>
        <w:jc w:val="left"/>
        <w:spacing w:before="0" w:after="120" w:line="480" w:lineRule="auto"/>
      </w:pPr>
      <w:r>
        <w:rPr>
          <w:rFonts w:ascii="Times New Roman" w:hAnsi="Times New Roman"/>
          <w:b/>
          <w:i w:val="0"/>
          <w:sz w:val="24"/>
        </w:rPr>
        <w:t xml:space="preserve">Keywords: </w:t>
      </w:r>
      <w:r>
        <w:rPr>
          <w:rFonts w:ascii="Times New Roman" w:hAnsi="Times New Roman"/>
          <w:b w:val="0"/>
          <w:i w:val="0"/>
          <w:sz w:val="24"/>
        </w:rPr>
        <w:t>parental education; socioeconomic status; neural development; EEG; ERP; fNIRS; fMRI; DTI; systematic review; early childhood</w:t>
      </w:r>
    </w:p>
    <w:p>
      <w:r>
        <w:br w:type="page"/>
      </w:r>
    </w:p>
    <w:p>
      <w:r>
        <w:br w:type="page"/>
      </w:r>
    </w:p>
    <w:p>
      <w:pPr>
        <w:pStyle w:val="Heading1"/>
        <w:spacing w:before="240" w:after="60" w:line="360" w:lineRule="auto"/>
      </w:pPr>
      <w:r>
        <w:rPr>
          <w:rFonts w:ascii="Times New Roman" w:hAnsi="Times New Roman"/>
          <w:b/>
          <w:sz w:val="28"/>
        </w:rPr>
        <w:t>1. Introduction</w:t>
      </w:r>
    </w:p>
    <w:p>
      <w:pPr>
        <w:pStyle w:val="Heading2"/>
        <w:spacing w:before="200" w:after="40" w:line="360" w:lineRule="auto"/>
      </w:pPr>
      <w:r>
        <w:rPr>
          <w:rFonts w:ascii="Times New Roman" w:hAnsi="Times New Roman"/>
          <w:b/>
          <w:sz w:val="26"/>
        </w:rPr>
        <w:t>1.1 Parental education level as a marker of early childhood environment</w:t>
      </w:r>
    </w:p>
    <w:p>
      <w:pPr>
        <w:jc w:val="left"/>
        <w:spacing w:before="0" w:after="120" w:line="480" w:lineRule="auto"/>
      </w:pPr>
      <w:r>
        <w:rPr>
          <w:rFonts w:ascii="Times New Roman" w:hAnsi="Times New Roman"/>
          <w:b w:val="0"/>
          <w:i w:val="0"/>
          <w:sz w:val="24"/>
        </w:rPr>
        <w:t>Socioeconomic status (SES) is a multidimensional construct encompassing income, occupational prestige, and educational attainment. Of its components, parental education level offers particular advantages for research: it is measured with relatively low error, remains stable across a child's early years, and reflects accumulated cognitive and cultural resources that bear on the quality of the home learning environment (Bradley &amp; Corwyn, 2002; Davis-Kean, 2005; Hackman &amp; Farah, 2009). Population-based studies consistently show that children of more educated parents perform better on vocabulary, executive function, and academic achievement assessments (Diamond, 2013; Duncan &amp; Magnuson, 2012; Hoff, 2013).</w:t>
      </w:r>
    </w:p>
    <w:p>
      <w:pPr>
        <w:jc w:val="left"/>
        <w:spacing w:before="0" w:after="120" w:line="480" w:lineRule="auto"/>
      </w:pPr>
      <w:r>
        <w:rPr>
          <w:rFonts w:ascii="Times New Roman" w:hAnsi="Times New Roman"/>
          <w:b w:val="0"/>
          <w:i w:val="0"/>
          <w:sz w:val="24"/>
        </w:rPr>
        <w:t xml:space="preserve">Yet behavioral outcomes are the downstream products of neural development. To understand </w:t>
      </w:r>
      <w:r>
        <w:rPr>
          <w:rFonts w:ascii="Times New Roman" w:hAnsi="Times New Roman"/>
          <w:b w:val="0"/>
          <w:i/>
          <w:sz w:val="24"/>
        </w:rPr>
        <w:t>how</w:t>
      </w:r>
      <w:r>
        <w:rPr>
          <w:rFonts w:ascii="Times New Roman" w:hAnsi="Times New Roman"/>
          <w:b w:val="0"/>
          <w:i w:val="0"/>
          <w:sz w:val="24"/>
        </w:rPr>
        <w:t xml:space="preserve"> educational advantages are transmitted across generations, it is necessary to examine their biological substrates—the brain systems that underlie cognitive and language capacities emerging in the first years of life.</w:t>
      </w:r>
    </w:p>
    <w:p>
      <w:pPr>
        <w:pStyle w:val="Heading2"/>
        <w:spacing w:before="200" w:after="40" w:line="360" w:lineRule="auto"/>
      </w:pPr>
      <w:r>
        <w:rPr>
          <w:rFonts w:ascii="Times New Roman" w:hAnsi="Times New Roman"/>
          <w:b/>
          <w:sz w:val="26"/>
        </w:rPr>
        <w:t>1.2 The 0–8 year window: neural plasticity and SES sensitivity</w:t>
      </w:r>
    </w:p>
    <w:p>
      <w:pPr>
        <w:jc w:val="left"/>
        <w:spacing w:before="0" w:after="120" w:line="480" w:lineRule="auto"/>
      </w:pPr>
      <w:r>
        <w:rPr>
          <w:rFonts w:ascii="Times New Roman" w:hAnsi="Times New Roman"/>
          <w:b w:val="0"/>
          <w:i w:val="0"/>
          <w:sz w:val="24"/>
        </w:rPr>
        <w:t>The period from birth to age 8 represents an interval of extraordinary neural plasticity. Synaptic density peaks in prefrontal cortex by approximately 3 years of age (Huttenlocher &amp; Dabholkar, 1997); myelination of long-range white matter tracts accelerates from birth through middle childhood (Paus et al., 1999); and cortical surface area expands rapidly in the first postnatal years before reaching near-adult values (Knickmeyer et al., 2008; Stiles &amp; Jernigan, 2010). These processes are experience-dependent: environmental enrichment supports pruning and myelination, while chronic adversity—operating via stress physiology—can alter their trajectory (McEwen &amp; Gianaros, 2010; Shonkoff et al., 2012).</w:t>
      </w:r>
    </w:p>
    <w:p>
      <w:pPr>
        <w:jc w:val="left"/>
        <w:spacing w:before="0" w:after="120" w:line="480" w:lineRule="auto"/>
      </w:pPr>
      <w:r>
        <w:rPr>
          <w:rFonts w:ascii="Times New Roman" w:hAnsi="Times New Roman"/>
          <w:b w:val="0"/>
          <w:i w:val="0"/>
          <w:sz w:val="24"/>
        </w:rPr>
        <w:t>The socioeconomic gradient in brain structure and function has been documented in school-age and adolescent samples (Hair et al., 2015; Noble et al., 2015; Hackman et al., 2010). Establishing when parental education begins to leave a detectable mark on neural outcomes matters for understanding sensitive periods and for identifying effective intervention targets. Studies in neonates and infants—where confounding by the child's own educational experiences is minimal—offer a particularly clean window onto prenatal and earliest postnatal environmental influences.</w:t>
      </w:r>
    </w:p>
    <w:p>
      <w:pPr>
        <w:jc w:val="left"/>
        <w:spacing w:before="0" w:after="120" w:line="480" w:lineRule="auto"/>
      </w:pPr>
      <w:r>
        <w:rPr>
          <w:rFonts w:ascii="Times New Roman" w:hAnsi="Times New Roman"/>
          <w:b w:val="0"/>
          <w:i w:val="0"/>
          <w:sz w:val="24"/>
        </w:rPr>
        <w:t>Consistent with the World Health Organization and UNESCO frameworks, which define early childhood as birth to 8 years of age—encompassing the period from birth through the early primary school years—the present review adopts this boundary as its primary age window (WHO, 2007; UNESCO, 2010). This window is broader than the "first 1,000 days" (0–3 years) in order to capture neural development across the full preschool and early school-age period, yet narrower than middle childhood (9–12 years) and adolescence (12–18 years), which involve qualitatively distinct neurodevelopmental processes including puberty-related hormonal reorganisation and protracted prefrontal maturation.</w:t>
      </w:r>
    </w:p>
    <w:p>
      <w:pPr>
        <w:pStyle w:val="Heading2"/>
        <w:spacing w:before="200" w:after="40" w:line="360" w:lineRule="auto"/>
      </w:pPr>
      <w:r>
        <w:rPr>
          <w:rFonts w:ascii="Times New Roman" w:hAnsi="Times New Roman"/>
          <w:b/>
          <w:sz w:val="26"/>
        </w:rPr>
        <w:t>1.3 Existing literature and gaps</w:t>
      </w:r>
    </w:p>
    <w:p>
      <w:pPr>
        <w:jc w:val="left"/>
        <w:spacing w:before="0" w:after="120" w:line="480" w:lineRule="auto"/>
      </w:pPr>
      <w:r>
        <w:rPr>
          <w:rFonts w:ascii="Times New Roman" w:hAnsi="Times New Roman"/>
          <w:b w:val="0"/>
          <w:i w:val="0"/>
          <w:sz w:val="24"/>
        </w:rPr>
        <w:t>Fifteen years ago, Hackman &amp; Farah (2009) issued an explicit call for research that disaggregates the components of SES—separating the contributions of parental education, income, and occupational prestige to neural outcomes—and extends the neuroimaging evidence base into infancy and early childhood. Noble et al. (2015) subsequently demonstrated, in a large structural MRI study of children and adolescents aged 6–18 years, that family income was associated with cortical surface area in a markedly non-linear fashion, with the steepest gradient concentrated at the lower end of the income distribution. Yet their sample did not extend below age 6, parental education was not examined as an independent exposure separate from income, and the question of whether effects are detectable in the earliest years of life—when neural plasticity is greatest—remained unanswered.</w:t>
      </w:r>
    </w:p>
    <w:p>
      <w:pPr>
        <w:jc w:val="left"/>
        <w:spacing w:before="0" w:after="120" w:line="480" w:lineRule="auto"/>
      </w:pPr>
      <w:r>
        <w:rPr>
          <w:rFonts w:ascii="Times New Roman" w:hAnsi="Times New Roman"/>
          <w:b w:val="0"/>
          <w:i w:val="0"/>
          <w:sz w:val="24"/>
        </w:rPr>
        <w:t>No study to date has systematically examined parental education as an independent dimension of socioeconomic influence on neural development in children under 8 years across multiple neuroimaging modalities. The field's failure to act on Hackman &amp; Farah's (2009) call is striking: as the present review documents, 83 of the 109 full-text studies assessed were excluded precisely because parental education lacked an independently estimable association—it had been subsumed into composite SES indices whose components could not be disentangled. Evidence across EEG/ERP, fNIRS, fMRI, and structural/diffusion MRI has meanwhile accumulated independently, with no cross-modal synthesis. And the question of whether the non-linear income pattern identified by Noble et al. (2015) has any parallel for parental education in the 0–8 year age range—where neural indices differ substantially from those used in school-age and adolescent samples—has never been addressed.</w:t>
      </w:r>
    </w:p>
    <w:p>
      <w:pPr>
        <w:jc w:val="left"/>
        <w:spacing w:before="0" w:after="120" w:line="480" w:lineRule="auto"/>
      </w:pPr>
      <w:r>
        <w:rPr>
          <w:rFonts w:ascii="Times New Roman" w:hAnsi="Times New Roman"/>
          <w:b w:val="0"/>
          <w:i w:val="0"/>
          <w:sz w:val="24"/>
        </w:rPr>
        <w:t xml:space="preserve">The present review is the first systematic attempt to fill this gap. It addresses three questions that go beyond asking </w:t>
      </w:r>
      <w:r>
        <w:rPr>
          <w:rFonts w:ascii="Times New Roman" w:hAnsi="Times New Roman"/>
          <w:b w:val="0"/>
          <w:i/>
          <w:sz w:val="24"/>
        </w:rPr>
        <w:t>whether</w:t>
      </w:r>
      <w:r>
        <w:rPr>
          <w:rFonts w:ascii="Times New Roman" w:hAnsi="Times New Roman"/>
          <w:b w:val="0"/>
          <w:i w:val="0"/>
          <w:sz w:val="24"/>
        </w:rPr>
        <w:t xml:space="preserve"> parental education is associated with neural development: (1) </w:t>
      </w:r>
      <w:r>
        <w:rPr>
          <w:rFonts w:ascii="Times New Roman" w:hAnsi="Times New Roman"/>
          <w:b w:val="0"/>
          <w:i/>
          <w:sz w:val="24"/>
        </w:rPr>
        <w:t>Which neural indices</w:t>
      </w:r>
      <w:r>
        <w:rPr>
          <w:rFonts w:ascii="Times New Roman" w:hAnsi="Times New Roman"/>
          <w:b w:val="0"/>
          <w:i w:val="0"/>
          <w:sz w:val="24"/>
        </w:rPr>
        <w:t xml:space="preserve"> show the most consistent and robust associations across independent studies—and what does cross-modal convergence reveal about the neural systems most sensitive to parental education? (2) </w:t>
      </w:r>
      <w:r>
        <w:rPr>
          <w:rFonts w:ascii="Times New Roman" w:hAnsi="Times New Roman"/>
          <w:b w:val="0"/>
          <w:i/>
          <w:sz w:val="24"/>
        </w:rPr>
        <w:t>From what developmental point</w:t>
      </w:r>
      <w:r>
        <w:rPr>
          <w:rFonts w:ascii="Times New Roman" w:hAnsi="Times New Roman"/>
          <w:b w:val="0"/>
          <w:i w:val="0"/>
          <w:sz w:val="24"/>
        </w:rPr>
        <w:t xml:space="preserve"> do associations emerge—and what do neonatal findings constrain regarding prenatal versus postnatal pathways? (3) </w:t>
      </w:r>
      <w:r>
        <w:rPr>
          <w:rFonts w:ascii="Times New Roman" w:hAnsi="Times New Roman"/>
          <w:b w:val="0"/>
          <w:i/>
          <w:sz w:val="24"/>
        </w:rPr>
        <w:t>What structural gaps</w:t>
      </w:r>
      <w:r>
        <w:rPr>
          <w:rFonts w:ascii="Times New Roman" w:hAnsi="Times New Roman"/>
          <w:b w:val="0"/>
          <w:i w:val="0"/>
          <w:sz w:val="24"/>
        </w:rPr>
        <w:t xml:space="preserve"> in research design—including the operationalization of parental education itself—remain unaddressed and limit the field's ability to translate these findings into intervention?</w:t>
      </w:r>
    </w:p>
    <w:p>
      <w:r>
        <w:br w:type="page"/>
      </w:r>
    </w:p>
    <w:p>
      <w:pPr>
        <w:pStyle w:val="Heading1"/>
        <w:spacing w:before="240" w:after="60" w:line="360" w:lineRule="auto"/>
      </w:pPr>
      <w:r>
        <w:rPr>
          <w:rFonts w:ascii="Times New Roman" w:hAnsi="Times New Roman"/>
          <w:b/>
          <w:sz w:val="28"/>
        </w:rPr>
        <w:t>2. Methods</w:t>
      </w:r>
    </w:p>
    <w:p>
      <w:pPr>
        <w:pStyle w:val="Heading2"/>
        <w:spacing w:before="200" w:after="40" w:line="360" w:lineRule="auto"/>
      </w:pPr>
      <w:r>
        <w:rPr>
          <w:rFonts w:ascii="Times New Roman" w:hAnsi="Times New Roman"/>
          <w:b/>
          <w:sz w:val="26"/>
        </w:rPr>
        <w:t>2.1 Protocol and registration</w:t>
      </w:r>
    </w:p>
    <w:p>
      <w:pPr>
        <w:jc w:val="left"/>
        <w:spacing w:before="0" w:after="120" w:line="480" w:lineRule="auto"/>
      </w:pPr>
      <w:r>
        <w:rPr>
          <w:rFonts w:ascii="Times New Roman" w:hAnsi="Times New Roman"/>
          <w:b w:val="0"/>
          <w:i w:val="0"/>
          <w:sz w:val="24"/>
        </w:rPr>
        <w:t>This systematic review was conducted following PRISMA 2020 guidelines (Page et al., 2021). We did not pre-register this review in PROSPERO because the descriptive narrative synthesis design does not lend itself to a prospective protocol, and no formal registration was completed prior to data collection.</w:t>
      </w:r>
    </w:p>
    <w:p>
      <w:pPr>
        <w:pStyle w:val="Heading2"/>
        <w:spacing w:before="200" w:after="40" w:line="360" w:lineRule="auto"/>
      </w:pPr>
      <w:r>
        <w:rPr>
          <w:rFonts w:ascii="Times New Roman" w:hAnsi="Times New Roman"/>
          <w:b/>
          <w:sz w:val="26"/>
        </w:rPr>
        <w:t>2.2 Eligibility criteria</w:t>
      </w:r>
    </w:p>
    <w:p>
      <w:pPr>
        <w:jc w:val="left"/>
        <w:spacing w:before="0" w:after="120" w:line="480" w:lineRule="auto"/>
      </w:pPr>
      <w:r>
        <w:rPr>
          <w:rFonts w:ascii="Times New Roman" w:hAnsi="Times New Roman"/>
          <w:b w:val="0"/>
          <w:i w:val="0"/>
          <w:sz w:val="24"/>
        </w:rPr>
        <w:t>Studies were eligible if they met all of the following criteria:</w:t>
      </w:r>
    </w:p>
    <w:p>
      <w:pPr>
        <w:jc w:val="left"/>
        <w:spacing w:before="0" w:after="120" w:line="480" w:lineRule="auto"/>
      </w:pPr>
      <w:r>
        <w:rPr>
          <w:rFonts w:ascii="Times New Roman" w:hAnsi="Times New Roman"/>
          <w:b/>
          <w:i w:val="0"/>
          <w:sz w:val="24"/>
        </w:rPr>
        <w:t>Population (P):</w:t>
      </w:r>
      <w:r>
        <w:rPr>
          <w:rFonts w:ascii="Times New Roman" w:hAnsi="Times New Roman"/>
          <w:b w:val="0"/>
          <w:i w:val="0"/>
          <w:sz w:val="24"/>
        </w:rPr>
        <w:t xml:space="preserve"> Children aged 0–8 years at the time of neural measurement (studies with mixed age ranges were included if the primary analysis focused on this age window or if child-specific subgroup data were available).</w:t>
      </w:r>
    </w:p>
    <w:p>
      <w:pPr>
        <w:jc w:val="left"/>
        <w:spacing w:before="0" w:after="120" w:line="480" w:lineRule="auto"/>
      </w:pPr>
      <w:r>
        <w:rPr>
          <w:rFonts w:ascii="Times New Roman" w:hAnsi="Times New Roman"/>
          <w:b/>
          <w:i w:val="0"/>
          <w:sz w:val="24"/>
        </w:rPr>
        <w:t>Exposure/Indicator (I/E):</w:t>
      </w:r>
      <w:r>
        <w:rPr>
          <w:rFonts w:ascii="Times New Roman" w:hAnsi="Times New Roman"/>
          <w:b w:val="0"/>
          <w:i w:val="0"/>
          <w:sz w:val="24"/>
        </w:rPr>
        <w:t xml:space="preserve"> Parental education level operationalized as an independently estimable variable—either as the sole SES indicator, or as a component of a composite SES measure with a separately reported regression coefficient (β or </w:t>
      </w:r>
      <w:r>
        <w:rPr>
          <w:rFonts w:ascii="Times New Roman" w:hAnsi="Times New Roman"/>
          <w:b w:val="0"/>
          <w:i/>
          <w:sz w:val="24"/>
        </w:rPr>
        <w:t>b</w:t>
      </w:r>
      <w:r>
        <w:rPr>
          <w:rFonts w:ascii="Times New Roman" w:hAnsi="Times New Roman"/>
          <w:b w:val="0"/>
          <w:i w:val="0"/>
          <w:sz w:val="24"/>
        </w:rPr>
        <w:t>) and associated significance level. Studies in which education was subsumed into a composite factor without a separable coefficient, or served only as a covariate without a reported independent association, were excluded.</w:t>
      </w:r>
    </w:p>
    <w:p>
      <w:pPr>
        <w:jc w:val="left"/>
        <w:spacing w:before="0" w:after="120" w:line="480" w:lineRule="auto"/>
      </w:pPr>
      <w:r>
        <w:rPr>
          <w:rFonts w:ascii="Times New Roman" w:hAnsi="Times New Roman"/>
          <w:b/>
          <w:i w:val="0"/>
          <w:sz w:val="24"/>
        </w:rPr>
        <w:t>Outcome (O):</w:t>
      </w:r>
      <w:r>
        <w:rPr>
          <w:rFonts w:ascii="Times New Roman" w:hAnsi="Times New Roman"/>
          <w:b w:val="0"/>
          <w:i w:val="0"/>
          <w:sz w:val="24"/>
        </w:rPr>
        <w:t xml:space="preserve"> At least one direct neural measure, including but not limited to: resting-state EEG power or connectivity; event-related potentials (ERPs); functional near-infrared spectroscopy (fNIRS) activation; functional MRI (fMRI) activation or connectivity; diffusion tensor imaging (DTI) metrics (fractional anisotropy, mean diffusivity); or structural MRI measures (cortical surface area, cortical thickness, gray matter volume). Electroencephalographic studies measuring only cognitive or behavioral outcomes (e.g., verbal IQ) without a direct neural index were excluded unless neuroimaging was also included.</w:t>
      </w:r>
    </w:p>
    <w:p>
      <w:pPr>
        <w:jc w:val="left"/>
        <w:spacing w:before="0" w:after="120" w:line="480" w:lineRule="auto"/>
      </w:pPr>
      <w:r>
        <w:rPr>
          <w:rFonts w:ascii="Times New Roman" w:hAnsi="Times New Roman"/>
          <w:b/>
          <w:i w:val="0"/>
          <w:sz w:val="24"/>
        </w:rPr>
        <w:t>Study design (S):</w:t>
      </w:r>
      <w:r>
        <w:rPr>
          <w:rFonts w:ascii="Times New Roman" w:hAnsi="Times New Roman"/>
          <w:b w:val="0"/>
          <w:i w:val="0"/>
          <w:sz w:val="24"/>
        </w:rPr>
        <w:t xml:space="preserve"> Cross-sectional observational studies, longitudinal observational studies, and randomized controlled trials (provided neural outcomes were analyzed as a function of parental education, not experimental assignment). Systematic reviews, meta-analyses, narrative reviews, editorials, letters, and conference abstracts were excluded.</w:t>
      </w:r>
    </w:p>
    <w:p>
      <w:pPr>
        <w:jc w:val="left"/>
        <w:spacing w:before="0" w:after="120" w:line="480" w:lineRule="auto"/>
      </w:pPr>
      <w:r>
        <w:rPr>
          <w:rFonts w:ascii="Times New Roman" w:hAnsi="Times New Roman"/>
          <w:b/>
          <w:i w:val="0"/>
          <w:sz w:val="24"/>
        </w:rPr>
        <w:t>Language:</w:t>
      </w:r>
      <w:r>
        <w:rPr>
          <w:rFonts w:ascii="Times New Roman" w:hAnsi="Times New Roman"/>
          <w:b w:val="0"/>
          <w:i w:val="0"/>
          <w:sz w:val="24"/>
        </w:rPr>
        <w:t xml:space="preserve"> English only.</w:t>
      </w:r>
    </w:p>
    <w:p>
      <w:pPr>
        <w:pStyle w:val="Heading2"/>
        <w:spacing w:before="200" w:after="40" w:line="360" w:lineRule="auto"/>
      </w:pPr>
      <w:r>
        <w:rPr>
          <w:rFonts w:ascii="Times New Roman" w:hAnsi="Times New Roman"/>
          <w:b/>
          <w:sz w:val="26"/>
        </w:rPr>
        <w:t>2.3 Search strategy</w:t>
      </w:r>
    </w:p>
    <w:p>
      <w:pPr>
        <w:jc w:val="left"/>
        <w:spacing w:before="0" w:after="120" w:line="480" w:lineRule="auto"/>
      </w:pPr>
      <w:r>
        <w:rPr>
          <w:rFonts w:ascii="Times New Roman" w:hAnsi="Times New Roman"/>
          <w:b w:val="0"/>
          <w:i w:val="0"/>
          <w:sz w:val="24"/>
        </w:rPr>
        <w:t>We conducted systematic searches in four electronic databases: PubMed/MEDLINE, PsycINFO (via EBSCOhost), Web of Science Core Collection, and Scopus. Searches were conducted in April 2026. No publication date restriction was applied. The Cochrane Library was not searched because this review focuses on observational studies, which are not systematically indexed in Cochrane.</w:t>
      </w:r>
    </w:p>
    <w:p>
      <w:pPr>
        <w:jc w:val="left"/>
        <w:spacing w:before="0" w:after="120" w:line="480" w:lineRule="auto"/>
      </w:pPr>
      <w:r>
        <w:rPr>
          <w:rFonts w:ascii="Times New Roman" w:hAnsi="Times New Roman"/>
          <w:b w:val="0"/>
          <w:i w:val="0"/>
          <w:sz w:val="24"/>
        </w:rPr>
        <w:t>The search strategy combined three concept blocks: (1) parental education or socioeconomic status, (2) young children aged 0–8 years, and (3) neural or neuroimaging measures. The PubMed search string integrated title/abstract [tiab] fields with MeSH terms, and was iteratively refined against a set of eight benchmark studies with known eligibility status prior to finalisation. The core PubMed search string was:</w:t>
      </w:r>
    </w:p>
    <w:p>
      <w:pPr>
        <w:ind w:left="720" w:right="720"/>
        <w:spacing w:before="60" w:after="60" w:line="276" w:lineRule="auto"/>
      </w:pPr>
      <w:r>
        <w:rPr>
          <w:rFonts w:ascii="Times New Roman" w:hAnsi="Times New Roman"/>
          <w:b w:val="0"/>
          <w:i/>
          <w:sz w:val="24"/>
        </w:rPr>
        <w:t>("parental education"[tiab] OR "maternal education"[tiab] OR "paternal education"[tiab] OR "educational attainment"[tiab] OR "socioeconomic status"[tiab] OR "socioeconomic background"[tiab] OR "family income"[tiab] OR "household income"[tiab] OR "child poverty"[tiab] OR "social disadvantage"[tiab]) AND ("infant</w:t>
      </w:r>
      <w:r>
        <w:rPr>
          <w:rFonts w:ascii="Times New Roman" w:hAnsi="Times New Roman"/>
          <w:b w:val="0"/>
          <w:i/>
          <w:sz w:val="24"/>
        </w:rPr>
        <w:t>"[tiab] OR "newborn</w:t>
      </w:r>
      <w:r>
        <w:rPr>
          <w:rFonts w:ascii="Times New Roman" w:hAnsi="Times New Roman"/>
          <w:b w:val="0"/>
          <w:i/>
          <w:sz w:val="24"/>
        </w:rPr>
        <w:t>"[tiab] OR "neonatal"[tiab] OR "toddler</w:t>
      </w:r>
      <w:r>
        <w:rPr>
          <w:rFonts w:ascii="Times New Roman" w:hAnsi="Times New Roman"/>
          <w:b w:val="0"/>
          <w:i/>
          <w:sz w:val="24"/>
        </w:rPr>
        <w:t>"[tiab] OR "preschool</w:t>
      </w:r>
      <w:r>
        <w:rPr>
          <w:rFonts w:ascii="Times New Roman" w:hAnsi="Times New Roman"/>
          <w:b w:val="0"/>
          <w:i/>
          <w:sz w:val="24"/>
        </w:rPr>
        <w:t>"[tiab] OR "pre-school</w:t>
      </w:r>
      <w:r>
        <w:rPr>
          <w:rFonts w:ascii="Times New Roman" w:hAnsi="Times New Roman"/>
          <w:b w:val="0"/>
          <w:i/>
          <w:sz w:val="24"/>
        </w:rPr>
        <w:t>"[tiab] OR "young children"[tiab] OR "early childhood"[tiab] OR "kindergarten"[tiab] OR Child[MeSH] OR "Child, Preschool"[MeSH] OR Infant[MeSH]) AND ("EEG"[tiab] OR "electroencephalograph</w:t>
      </w:r>
      <w:r>
        <w:rPr>
          <w:rFonts w:ascii="Times New Roman" w:hAnsi="Times New Roman"/>
          <w:b w:val="0"/>
          <w:i/>
          <w:sz w:val="24"/>
        </w:rPr>
        <w:t>"[tiab] OR "electrophysiolog</w:t>
      </w:r>
      <w:r>
        <w:rPr>
          <w:rFonts w:ascii="Times New Roman" w:hAnsi="Times New Roman"/>
          <w:b w:val="0"/>
          <w:i/>
          <w:sz w:val="24"/>
        </w:rPr>
        <w:t>"[tiab] OR "event-related potential</w:t>
      </w:r>
      <w:r>
        <w:rPr>
          <w:rFonts w:ascii="Times New Roman" w:hAnsi="Times New Roman"/>
          <w:b w:val="0"/>
          <w:i/>
          <w:sz w:val="24"/>
        </w:rPr>
        <w:t>"[tiab] OR "ERP"[tiab] OR "MMN"[tiab] OR "N400"[tiab] OR "P300"[tiab] OR "alpha power"[tiab] OR "theta power"[tiab] OR "resting-state"[tiab] OR "fNIRS"[tiab] OR "fMRI"[tiab] OR "functional MRI"[tiab] OR "functional magnetic resonance"[tiab] OR "DTI"[tiab] OR "diffusion tensor"[tiab] OR "structural MRI"[tiab] OR "cortical thickness"[tiab] OR "gray matter"[tiab] OR "white matter"[tiab] OR "VBM"[tiab] OR "brain function"[tiab] OR "brain activity"[tiab] OR "brain development"[tiab] OR "neural"[tiab] OR "neuroimaging"[tiab])</w:t>
      </w:r>
    </w:p>
    <w:p>
      <w:pPr>
        <w:jc w:val="left"/>
        <w:spacing w:before="0" w:after="120" w:line="480" w:lineRule="auto"/>
      </w:pPr>
      <w:r>
        <w:rPr>
          <w:rFonts w:ascii="Times New Roman" w:hAnsi="Times New Roman"/>
          <w:b w:val="0"/>
          <w:i w:val="0"/>
          <w:sz w:val="24"/>
        </w:rPr>
        <w:t>Search strings for PsycINFO, Web of Science, and Scopus were adapted to each database's controlled vocabulary and field codes. Full database-specific search strings for these three databases are available from the corresponding author upon reasonable request.</w:t>
      </w:r>
    </w:p>
    <w:p>
      <w:pPr>
        <w:pStyle w:val="Heading2"/>
        <w:spacing w:before="200" w:after="40" w:line="360" w:lineRule="auto"/>
      </w:pPr>
      <w:r>
        <w:rPr>
          <w:rFonts w:ascii="Times New Roman" w:hAnsi="Times New Roman"/>
          <w:b/>
          <w:sz w:val="26"/>
        </w:rPr>
        <w:t>2.4 Study selection</w:t>
      </w:r>
    </w:p>
    <w:p>
      <w:pPr>
        <w:jc w:val="left"/>
        <w:spacing w:before="0" w:after="120" w:line="480" w:lineRule="auto"/>
      </w:pPr>
      <w:r>
        <w:rPr>
          <w:rFonts w:ascii="Times New Roman" w:hAnsi="Times New Roman"/>
          <w:b w:val="0"/>
          <w:i w:val="0"/>
          <w:sz w:val="24"/>
        </w:rPr>
        <w:t>Search results from all four databases were combined and deduplicated. Deduplication prioritised exact DOI matching; records without a DOI were matched on title and publication year (first 120 characters of title). This process yielded a deduplicated pool of 1,827 records from 3,097 initial hits (PubMed = 521, PsycINFO = 296, Web of Science = 1,011, Scopus = 1,269).</w:t>
      </w:r>
    </w:p>
    <w:p>
      <w:pPr>
        <w:jc w:val="left"/>
        <w:spacing w:before="0" w:after="120" w:line="480" w:lineRule="auto"/>
      </w:pPr>
      <w:r>
        <w:rPr>
          <w:rFonts w:ascii="Times New Roman" w:hAnsi="Times New Roman"/>
          <w:b w:val="0"/>
          <w:i w:val="0"/>
          <w:sz w:val="24"/>
        </w:rPr>
        <w:t>Title and abstract screening proceeded in two stages:</w:t>
      </w:r>
    </w:p>
    <w:p>
      <w:pPr>
        <w:jc w:val="left"/>
        <w:spacing w:before="0" w:after="120" w:line="480" w:lineRule="auto"/>
      </w:pPr>
      <w:r>
        <w:rPr>
          <w:rFonts w:ascii="Times New Roman" w:hAnsi="Times New Roman"/>
          <w:b/>
          <w:i w:val="0"/>
          <w:sz w:val="24"/>
        </w:rPr>
        <w:t>Stage 1 (Automated pre-screening):</w:t>
      </w:r>
      <w:r>
        <w:rPr>
          <w:rFonts w:ascii="Times New Roman" w:hAnsi="Times New Roman"/>
          <w:b w:val="0"/>
          <w:i w:val="0"/>
          <w:sz w:val="24"/>
        </w:rPr>
        <w:t xml:space="preserve"> A keyword-based algorithm retained records containing terms from all three concept blocks—parental education/SES, child age (0–8 years), and a neural measurement indicator. Records were excluded if they lacked a term from any single block. Neural indicators were applied in two tiers: records containing modality-specific terms (e.g., EEG, fMRI, cortical thickness) were automatically retained; records matching only broad neuroscientific terms (e.g., </w:t>
      </w:r>
      <w:r>
        <w:rPr>
          <w:rFonts w:ascii="Times New Roman" w:hAnsi="Times New Roman"/>
          <w:b w:val="0"/>
          <w:i/>
          <w:sz w:val="24"/>
        </w:rPr>
        <w:t>brain development</w:t>
      </w:r>
      <w:r>
        <w:rPr>
          <w:rFonts w:ascii="Times New Roman" w:hAnsi="Times New Roman"/>
          <w:b w:val="0"/>
          <w:i w:val="0"/>
          <w:sz w:val="24"/>
        </w:rPr>
        <w:t xml:space="preserve">, </w:t>
      </w:r>
      <w:r>
        <w:rPr>
          <w:rFonts w:ascii="Times New Roman" w:hAnsi="Times New Roman"/>
          <w:b w:val="0"/>
          <w:i/>
          <w:sz w:val="24"/>
        </w:rPr>
        <w:t>brain function</w:t>
      </w:r>
      <w:r>
        <w:rPr>
          <w:rFonts w:ascii="Times New Roman" w:hAnsi="Times New Roman"/>
          <w:b w:val="0"/>
          <w:i w:val="0"/>
          <w:sz w:val="24"/>
        </w:rPr>
        <w:t>) without a modality-specific term were excluded at this stage, as these terms alone could not confirm the presence of a neural measurement. Stage 1 excluded 1,314 records, retaining 513 for Stage 2.</w:t>
      </w:r>
    </w:p>
    <w:p>
      <w:pPr>
        <w:jc w:val="left"/>
        <w:spacing w:before="0" w:after="120" w:line="480" w:lineRule="auto"/>
      </w:pPr>
      <w:r>
        <w:rPr>
          <w:rFonts w:ascii="Times New Roman" w:hAnsi="Times New Roman"/>
          <w:b/>
          <w:i w:val="0"/>
          <w:sz w:val="24"/>
        </w:rPr>
        <w:t>Stage 2 (Title/abstract review):</w:t>
      </w:r>
      <w:r>
        <w:rPr>
          <w:rFonts w:ascii="Times New Roman" w:hAnsi="Times New Roman"/>
          <w:b w:val="0"/>
          <w:i w:val="0"/>
          <w:sz w:val="24"/>
        </w:rPr>
        <w:t xml:space="preserve"> Two reviewers independently screened all 513 records against the full PICOS eligibility criteria. Initial agreement between reviewers exceeded 88%; disagreements were resolved by discussion and consensus. Stage 2 excluded 380 records, retaining 133 for full-text retrieval.</w:t>
      </w:r>
    </w:p>
    <w:p>
      <w:pPr>
        <w:jc w:val="left"/>
        <w:spacing w:before="0" w:after="120" w:line="480" w:lineRule="auto"/>
      </w:pPr>
      <w:r>
        <w:rPr>
          <w:rFonts w:ascii="Times New Roman" w:hAnsi="Times New Roman"/>
          <w:b/>
          <w:i w:val="0"/>
          <w:sz w:val="24"/>
        </w:rPr>
        <w:t>Stage 3 (Full-text eligibility):</w:t>
      </w:r>
      <w:r>
        <w:rPr>
          <w:rFonts w:ascii="Times New Roman" w:hAnsi="Times New Roman"/>
          <w:b w:val="0"/>
          <w:i w:val="0"/>
          <w:sz w:val="24"/>
        </w:rPr>
        <w:t xml:space="preserve"> Full-text PDFs were sought for all 133 records; 1 record could not be retrieved after reasonable effort (E6) and is reported separately as a not-retrieved record. Of the remaining 132 records, 23 were excluded prior to full-text review on the basis of abstract information alone (22 records) or confirmed retraction (1 record). Two reviewers independently assessed all 109 full texts against the eligibility criteria. Full-text review included systematic verification that parental education or SES had an independently estimable effect (i.e., reported as a separate regression coefficient, primary exposure variable, or with a statistically significant independent association with a neural outcome); studies in which education was subsumed within a composite SES factor without a separable coefficient, or served only as a covariate without a reported independent effect, were excluded (E2). Disagreements were resolved by consensus discussion. This process yielded 16 studies meeting all inclusion criteria; 93 were excluded at full-text stage. Primary reasons for full-text exclusion were: parental education/SES not independently estimable (E2, </w:t>
      </w:r>
      <w:r>
        <w:rPr>
          <w:rFonts w:ascii="Times New Roman" w:hAnsi="Times New Roman"/>
          <w:b w:val="0"/>
          <w:i/>
          <w:sz w:val="24"/>
        </w:rPr>
        <w:t>k</w:t>
      </w:r>
      <w:r>
        <w:rPr>
          <w:rFonts w:ascii="Times New Roman" w:hAnsi="Times New Roman"/>
          <w:b w:val="0"/>
          <w:i w:val="0"/>
          <w:sz w:val="24"/>
        </w:rPr>
        <w:t xml:space="preserve"> = 83); duplicate records of an included study or preprint superseded by a published version (E7, </w:t>
      </w:r>
      <w:r>
        <w:rPr>
          <w:rFonts w:ascii="Times New Roman" w:hAnsi="Times New Roman"/>
          <w:b w:val="0"/>
          <w:i/>
          <w:sz w:val="24"/>
        </w:rPr>
        <w:t>k</w:t>
      </w:r>
      <w:r>
        <w:rPr>
          <w:rFonts w:ascii="Times New Roman" w:hAnsi="Times New Roman"/>
          <w:b w:val="0"/>
          <w:i w:val="0"/>
          <w:sz w:val="24"/>
        </w:rPr>
        <w:t xml:space="preserve"> = 5); non-empirical publication type (E4, </w:t>
      </w:r>
      <w:r>
        <w:rPr>
          <w:rFonts w:ascii="Times New Roman" w:hAnsi="Times New Roman"/>
          <w:b w:val="0"/>
          <w:i/>
          <w:sz w:val="24"/>
        </w:rPr>
        <w:t>k</w:t>
      </w:r>
      <w:r>
        <w:rPr>
          <w:rFonts w:ascii="Times New Roman" w:hAnsi="Times New Roman"/>
          <w:b w:val="0"/>
          <w:i w:val="0"/>
          <w:sz w:val="24"/>
        </w:rPr>
        <w:t xml:space="preserve"> = 2); no neural outcome measure (E3, </w:t>
      </w:r>
      <w:r>
        <w:rPr>
          <w:rFonts w:ascii="Times New Roman" w:hAnsi="Times New Roman"/>
          <w:b w:val="0"/>
          <w:i/>
          <w:sz w:val="24"/>
        </w:rPr>
        <w:t>k</w:t>
      </w:r>
      <w:r>
        <w:rPr>
          <w:rFonts w:ascii="Times New Roman" w:hAnsi="Times New Roman"/>
          <w:b w:val="0"/>
          <w:i w:val="0"/>
          <w:sz w:val="24"/>
        </w:rPr>
        <w:t xml:space="preserve"> = 1); full text inaccessible despite reasonable effort (E6, </w:t>
      </w:r>
      <w:r>
        <w:rPr>
          <w:rFonts w:ascii="Times New Roman" w:hAnsi="Times New Roman"/>
          <w:b w:val="0"/>
          <w:i/>
          <w:sz w:val="24"/>
        </w:rPr>
        <w:t>k</w:t>
      </w:r>
      <w:r>
        <w:rPr>
          <w:rFonts w:ascii="Times New Roman" w:hAnsi="Times New Roman"/>
          <w:b w:val="0"/>
          <w:i w:val="0"/>
          <w:sz w:val="24"/>
        </w:rPr>
        <w:t xml:space="preserve"> = 1); and age range outside 0–8 years without eligible subgroup data (E1, </w:t>
      </w:r>
      <w:r>
        <w:rPr>
          <w:rFonts w:ascii="Times New Roman" w:hAnsi="Times New Roman"/>
          <w:b w:val="0"/>
          <w:i/>
          <w:sz w:val="24"/>
        </w:rPr>
        <w:t>k</w:t>
      </w:r>
      <w:r>
        <w:rPr>
          <w:rFonts w:ascii="Times New Roman" w:hAnsi="Times New Roman"/>
          <w:b w:val="0"/>
          <w:i w:val="0"/>
          <w:sz w:val="24"/>
        </w:rPr>
        <w:t xml:space="preserve"> = 1). A PRISMA 2020 flow diagram is presented in Figure 1.</w:t>
      </w:r>
    </w:p>
    <w:p>
      <w:pPr>
        <w:pStyle w:val="Heading2"/>
        <w:spacing w:before="200" w:after="40" w:line="360" w:lineRule="auto"/>
      </w:pPr>
      <w:r>
        <w:rPr>
          <w:rFonts w:ascii="Times New Roman" w:hAnsi="Times New Roman"/>
          <w:b/>
          <w:sz w:val="26"/>
        </w:rPr>
        <w:t>2.5 Data extraction</w:t>
      </w:r>
    </w:p>
    <w:p>
      <w:pPr>
        <w:jc w:val="left"/>
        <w:spacing w:before="0" w:after="120" w:line="480" w:lineRule="auto"/>
      </w:pPr>
      <w:r>
        <w:rPr>
          <w:rFonts w:ascii="Times New Roman" w:hAnsi="Times New Roman"/>
          <w:b w:val="0"/>
          <w:i w:val="0"/>
          <w:sz w:val="24"/>
        </w:rPr>
        <w:t>Data were extracted by two independent reviewers using a pre-specified extraction form comprising approximately 32 fields organized into five domains: (1) basic study characteristics (authors, year, country, design, sample size, age); (2) SES/education measurement (measure type, reporter, coding, composite vs. independent operationalization); (3) neural measurement (modality, paradigm, brain regions/electrodes, specific metrics); (4) outcome data (effect direction, effect size where reported, statistical values, controlled covariates); and (5) narrative notes (boundary cases, measurement caveats). Initial agreement between extractors exceeded 85%; disagreements were resolved by consensus. For studies reporting multiple neural outcomes, data for each distinct neural measure were extracted separately.</w:t>
      </w:r>
    </w:p>
    <w:p>
      <w:pPr>
        <w:pStyle w:val="Heading2"/>
        <w:spacing w:before="200" w:after="40" w:line="360" w:lineRule="auto"/>
      </w:pPr>
      <w:r>
        <w:rPr>
          <w:rFonts w:ascii="Times New Roman" w:hAnsi="Times New Roman"/>
          <w:b/>
          <w:sz w:val="26"/>
        </w:rPr>
        <w:t>2.6 Quality assessment</w:t>
      </w:r>
    </w:p>
    <w:p>
      <w:pPr>
        <w:jc w:val="left"/>
        <w:spacing w:before="0" w:after="120" w:line="480" w:lineRule="auto"/>
      </w:pPr>
      <w:r>
        <w:rPr>
          <w:rFonts w:ascii="Times New Roman" w:hAnsi="Times New Roman"/>
          <w:b w:val="0"/>
          <w:i w:val="0"/>
          <w:sz w:val="24"/>
        </w:rPr>
        <w:t>Study quality was assessed using the Newcastle–Ottawa Scale (NOS) for observational studies (Wells et al., 2000). The NOS evaluates three domains: selection of study groups (0–4 stars), comparability of groups (0–2 stars), and assessment of outcomes/exposures (0–3 stars), yielding a maximum score of 9. Two reviewers independently rated all 16 studies; disagreements were resolved by consensus. Studies scoring ≥7 were classified as high quality, 5–6 as moderate quality, and ≤4 as low quality.</w:t>
      </w:r>
    </w:p>
    <w:p>
      <w:pPr>
        <w:pStyle w:val="Heading2"/>
        <w:spacing w:before="200" w:after="40" w:line="360" w:lineRule="auto"/>
      </w:pPr>
      <w:r>
        <w:rPr>
          <w:rFonts w:ascii="Times New Roman" w:hAnsi="Times New Roman"/>
          <w:b/>
          <w:sz w:val="26"/>
        </w:rPr>
        <w:t>2.7 Data synthesis</w:t>
      </w:r>
    </w:p>
    <w:p>
      <w:pPr>
        <w:jc w:val="left"/>
        <w:spacing w:before="0" w:after="120" w:line="480" w:lineRule="auto"/>
      </w:pPr>
      <w:r>
        <w:rPr>
          <w:rFonts w:ascii="Times New Roman" w:hAnsi="Times New Roman"/>
          <w:b w:val="0"/>
          <w:i w:val="0"/>
          <w:sz w:val="24"/>
        </w:rPr>
        <w:t>Owing to substantial methodological heterogeneity across studies—spanning six neural modalities, diverse paradigms, and outcome measures that are incommensurable across modalities—quantitative pooling was not performed. A narrative synthesis approach was used instead, following the Synthesis Without Meta-analysis (SWiM) guidance (Campbell et al., 2020). Studies are organized primarily by neural modality and secondarily by age at measurement. Within each modality section, we describe: (a) the specific neural measure, (b) the operationalization and independent association of parental education, (c) key statistical findings, and (d) relevant covariates controlled. We note that the directional vote-count reported (15 of 16 studies positive) treats each study as a single data point regardless of sample size; larger studies with more precise estimates are not formally down-weighted here, which is a recognized limitation of narrative synthesis that readers should consider when interpreting the apparent consistency of evidence.</w:t>
      </w:r>
    </w:p>
    <w:p>
      <w:r>
        <w:br w:type="page"/>
      </w:r>
    </w:p>
    <w:p>
      <w:pPr>
        <w:pStyle w:val="Heading1"/>
        <w:spacing w:before="240" w:after="60" w:line="360" w:lineRule="auto"/>
      </w:pPr>
      <w:r>
        <w:rPr>
          <w:rFonts w:ascii="Times New Roman" w:hAnsi="Times New Roman"/>
          <w:b/>
          <w:sz w:val="28"/>
        </w:rPr>
        <w:t>3. Results</w:t>
      </w:r>
    </w:p>
    <w:p>
      <w:pPr>
        <w:pStyle w:val="Heading2"/>
        <w:spacing w:before="200" w:after="40" w:line="360" w:lineRule="auto"/>
      </w:pPr>
      <w:r>
        <w:rPr>
          <w:rFonts w:ascii="Times New Roman" w:hAnsi="Times New Roman"/>
          <w:b/>
          <w:sz w:val="26"/>
        </w:rPr>
        <w:t>3.1 Study selection and characteristics</w:t>
      </w:r>
    </w:p>
    <w:p>
      <w:pPr>
        <w:jc w:val="left"/>
        <w:spacing w:before="0" w:after="120" w:line="480" w:lineRule="auto"/>
      </w:pPr>
      <w:r>
        <w:rPr>
          <w:rFonts w:ascii="Times New Roman" w:hAnsi="Times New Roman"/>
          <w:b w:val="0"/>
          <w:i w:val="0"/>
          <w:sz w:val="24"/>
        </w:rPr>
        <w:t xml:space="preserve">The search identified 3,097 records across four databases (PubMed = 521, PsycINFO = 296, Web of Science = 1,011, Scopus = 1,269). After deduplication, 1,827 unique records remained. Automated keyword pre-screening excluded a further 1,314 records (Stage 1), and title/abstract review excluded 380 records (Stage 2), yielding 133 records for full-text retrieval. Full-text PDFs were sought for all 133 records; 1 record could not be retrieved. Of the remaining 132 records, 23 were excluded prior to full-text review (abstract-based exclusion, </w:t>
      </w:r>
      <w:r>
        <w:rPr>
          <w:rFonts w:ascii="Times New Roman" w:hAnsi="Times New Roman"/>
          <w:b w:val="0"/>
          <w:i/>
          <w:sz w:val="24"/>
        </w:rPr>
        <w:t>k</w:t>
      </w:r>
      <w:r>
        <w:rPr>
          <w:rFonts w:ascii="Times New Roman" w:hAnsi="Times New Roman"/>
          <w:b w:val="0"/>
          <w:i w:val="0"/>
          <w:sz w:val="24"/>
        </w:rPr>
        <w:t xml:space="preserve"> = 22; retracted publication, </w:t>
      </w:r>
      <w:r>
        <w:rPr>
          <w:rFonts w:ascii="Times New Roman" w:hAnsi="Times New Roman"/>
          <w:b w:val="0"/>
          <w:i/>
          <w:sz w:val="24"/>
        </w:rPr>
        <w:t>k</w:t>
      </w:r>
      <w:r>
        <w:rPr>
          <w:rFonts w:ascii="Times New Roman" w:hAnsi="Times New Roman"/>
          <w:b w:val="0"/>
          <w:i w:val="0"/>
          <w:sz w:val="24"/>
        </w:rPr>
        <w:t xml:space="preserve"> = 1), leaving 109 for full-text assessment. Full-text review of 109 records resulted in 93 exclusions; the most common reason was that parental education lacked an independently estimable effect (E2, </w:t>
      </w:r>
      <w:r>
        <w:rPr>
          <w:rFonts w:ascii="Times New Roman" w:hAnsi="Times New Roman"/>
          <w:b w:val="0"/>
          <w:i/>
          <w:sz w:val="24"/>
        </w:rPr>
        <w:t>k</w:t>
      </w:r>
      <w:r>
        <w:rPr>
          <w:rFonts w:ascii="Times New Roman" w:hAnsi="Times New Roman"/>
          <w:b w:val="0"/>
          <w:i w:val="0"/>
          <w:sz w:val="24"/>
        </w:rPr>
        <w:t xml:space="preserve"> = 83), followed by duplicate or superseded records (E7, </w:t>
      </w:r>
      <w:r>
        <w:rPr>
          <w:rFonts w:ascii="Times New Roman" w:hAnsi="Times New Roman"/>
          <w:b w:val="0"/>
          <w:i/>
          <w:sz w:val="24"/>
        </w:rPr>
        <w:t>k</w:t>
      </w:r>
      <w:r>
        <w:rPr>
          <w:rFonts w:ascii="Times New Roman" w:hAnsi="Times New Roman"/>
          <w:b w:val="0"/>
          <w:i w:val="0"/>
          <w:sz w:val="24"/>
        </w:rPr>
        <w:t xml:space="preserve"> = 5), non-empirical publication type (E4, </w:t>
      </w:r>
      <w:r>
        <w:rPr>
          <w:rFonts w:ascii="Times New Roman" w:hAnsi="Times New Roman"/>
          <w:b w:val="0"/>
          <w:i/>
          <w:sz w:val="24"/>
        </w:rPr>
        <w:t>k</w:t>
      </w:r>
      <w:r>
        <w:rPr>
          <w:rFonts w:ascii="Times New Roman" w:hAnsi="Times New Roman"/>
          <w:b w:val="0"/>
          <w:i w:val="0"/>
          <w:sz w:val="24"/>
        </w:rPr>
        <w:t xml:space="preserve"> = 2), and single cases each of no neural outcome (E3, </w:t>
      </w:r>
      <w:r>
        <w:rPr>
          <w:rFonts w:ascii="Times New Roman" w:hAnsi="Times New Roman"/>
          <w:b w:val="0"/>
          <w:i/>
          <w:sz w:val="24"/>
        </w:rPr>
        <w:t>k</w:t>
      </w:r>
      <w:r>
        <w:rPr>
          <w:rFonts w:ascii="Times New Roman" w:hAnsi="Times New Roman"/>
          <w:b w:val="0"/>
          <w:i w:val="0"/>
          <w:sz w:val="24"/>
        </w:rPr>
        <w:t xml:space="preserve"> = 1), full text inaccessible (E6, </w:t>
      </w:r>
      <w:r>
        <w:rPr>
          <w:rFonts w:ascii="Times New Roman" w:hAnsi="Times New Roman"/>
          <w:b w:val="0"/>
          <w:i/>
          <w:sz w:val="24"/>
        </w:rPr>
        <w:t>k</w:t>
      </w:r>
      <w:r>
        <w:rPr>
          <w:rFonts w:ascii="Times New Roman" w:hAnsi="Times New Roman"/>
          <w:b w:val="0"/>
          <w:i w:val="0"/>
          <w:sz w:val="24"/>
        </w:rPr>
        <w:t xml:space="preserve"> = 1), and age range outside target window (E1, </w:t>
      </w:r>
      <w:r>
        <w:rPr>
          <w:rFonts w:ascii="Times New Roman" w:hAnsi="Times New Roman"/>
          <w:b w:val="0"/>
          <w:i/>
          <w:sz w:val="24"/>
        </w:rPr>
        <w:t>k</w:t>
      </w:r>
      <w:r>
        <w:rPr>
          <w:rFonts w:ascii="Times New Roman" w:hAnsi="Times New Roman"/>
          <w:b w:val="0"/>
          <w:i w:val="0"/>
          <w:sz w:val="24"/>
        </w:rPr>
        <w:t xml:space="preserve"> = 1). Sixteen studies met all inclusion criteria and were included in the review (see Figure 1 for PRISMA flow diagram).</w:t>
      </w:r>
    </w:p>
    <w:p>
      <w:pPr>
        <w:jc w:val="left"/>
        <w:spacing w:before="0" w:after="120" w:line="480" w:lineRule="auto"/>
      </w:pPr>
      <w:r>
        <w:rPr>
          <w:rFonts w:ascii="Times New Roman" w:hAnsi="Times New Roman"/>
          <w:b w:val="0"/>
          <w:i w:val="0"/>
          <w:sz w:val="24"/>
        </w:rPr>
        <w:t xml:space="preserve">The 16 included studies were published between 2010 and 2024 and involved approximately 2,200 children across 9 countries or regions (United States, United Kingdom, Germany, Canada, Spain, Brazil, India, Norway, and a US/UK/Norway multinational cohort). Sample sizes ranged from 26 to 373 (median ≈ 97). Studies spanned six neural modalities: structural MRI (sMRI; </w:t>
      </w:r>
      <w:r>
        <w:rPr>
          <w:rFonts w:ascii="Times New Roman" w:hAnsi="Times New Roman"/>
          <w:b w:val="0"/>
          <w:i/>
          <w:sz w:val="24"/>
        </w:rPr>
        <w:t>k</w:t>
      </w:r>
      <w:r>
        <w:rPr>
          <w:rFonts w:ascii="Times New Roman" w:hAnsi="Times New Roman"/>
          <w:b w:val="0"/>
          <w:i w:val="0"/>
          <w:sz w:val="24"/>
        </w:rPr>
        <w:t xml:space="preserve"> = 5, including one study in which brain volume served as a covariate rather than primary outcome; see Section 3.5.1), functional MRI (fMRI; </w:t>
      </w:r>
      <w:r>
        <w:rPr>
          <w:rFonts w:ascii="Times New Roman" w:hAnsi="Times New Roman"/>
          <w:b w:val="0"/>
          <w:i/>
          <w:sz w:val="24"/>
        </w:rPr>
        <w:t>k</w:t>
      </w:r>
      <w:r>
        <w:rPr>
          <w:rFonts w:ascii="Times New Roman" w:hAnsi="Times New Roman"/>
          <w:b w:val="0"/>
          <w:i w:val="0"/>
          <w:sz w:val="24"/>
        </w:rPr>
        <w:t xml:space="preserve"> = 2), diffusion tensor imaging (DTI; </w:t>
      </w:r>
      <w:r>
        <w:rPr>
          <w:rFonts w:ascii="Times New Roman" w:hAnsi="Times New Roman"/>
          <w:b w:val="0"/>
          <w:i/>
          <w:sz w:val="24"/>
        </w:rPr>
        <w:t>k</w:t>
      </w:r>
      <w:r>
        <w:rPr>
          <w:rFonts w:ascii="Times New Roman" w:hAnsi="Times New Roman"/>
          <w:b w:val="0"/>
          <w:i w:val="0"/>
          <w:sz w:val="24"/>
        </w:rPr>
        <w:t xml:space="preserve"> = 3), resting-state EEG (rsEEG; </w:t>
      </w:r>
      <w:r>
        <w:rPr>
          <w:rFonts w:ascii="Times New Roman" w:hAnsi="Times New Roman"/>
          <w:b w:val="0"/>
          <w:i/>
          <w:sz w:val="24"/>
        </w:rPr>
        <w:t>k</w:t>
      </w:r>
      <w:r>
        <w:rPr>
          <w:rFonts w:ascii="Times New Roman" w:hAnsi="Times New Roman"/>
          <w:b w:val="0"/>
          <w:i w:val="0"/>
          <w:sz w:val="24"/>
        </w:rPr>
        <w:t xml:space="preserve"> = 3), event-related potentials (ERP; </w:t>
      </w:r>
      <w:r>
        <w:rPr>
          <w:rFonts w:ascii="Times New Roman" w:hAnsi="Times New Roman"/>
          <w:b w:val="0"/>
          <w:i/>
          <w:sz w:val="24"/>
        </w:rPr>
        <w:t>k</w:t>
      </w:r>
      <w:r>
        <w:rPr>
          <w:rFonts w:ascii="Times New Roman" w:hAnsi="Times New Roman"/>
          <w:b w:val="0"/>
          <w:i w:val="0"/>
          <w:sz w:val="24"/>
        </w:rPr>
        <w:t xml:space="preserve"> = 2; one study additionally included frontal theta power analysis), and functional near-infrared spectroscopy (fNIRS; </w:t>
      </w:r>
      <w:r>
        <w:rPr>
          <w:rFonts w:ascii="Times New Roman" w:hAnsi="Times New Roman"/>
          <w:b w:val="0"/>
          <w:i/>
          <w:sz w:val="24"/>
        </w:rPr>
        <w:t>k</w:t>
      </w:r>
      <w:r>
        <w:rPr>
          <w:rFonts w:ascii="Times New Roman" w:hAnsi="Times New Roman"/>
          <w:b w:val="0"/>
          <w:i w:val="0"/>
          <w:sz w:val="24"/>
        </w:rPr>
        <w:t xml:space="preserve"> = 1). Child age at neural measurement ranged from birth (neonatal period) to 15 years, with the majority of studies (12 of 16) focusing on children within the 0–8 year target window. Four studies included samples extending modestly beyond 8 years (Ursache &amp; Noble, 2016: 6–9 years; Demir-Lira et al., 2021: 6–13 years; Maguire &amp; Schneider, 2019: 8–15 years; Lange et al., 2010: 4–18 years); these were retained because their primary neural findings were concentrated in or began within the early childhood period, or because the study design involved longitudinal follow-up originating within the target window (see Table 1). Findings from these studies are interpreted in light of their extended age ranges. Study characteristics are summarized in Table 1.</w:t>
      </w:r>
    </w:p>
    <w:p>
      <w:pPr>
        <w:jc w:val="left"/>
        <w:spacing w:before="0" w:after="120" w:line="480" w:lineRule="auto"/>
      </w:pPr>
      <w:r>
        <w:rPr>
          <w:rFonts w:ascii="Times New Roman" w:hAnsi="Times New Roman"/>
          <w:b w:val="0"/>
          <w:i w:val="0"/>
          <w:sz w:val="24"/>
        </w:rPr>
        <w:t xml:space="preserve">Parental education was operationalized as the sole SES exposure in 9 studies; in the remaining 7, it was one component of a composite SES index but with a separately estimable regression coefficient. The most common operationalization was maternal education in years of schooling (continuous; </w:t>
      </w:r>
      <w:r>
        <w:rPr>
          <w:rFonts w:ascii="Times New Roman" w:hAnsi="Times New Roman"/>
          <w:b w:val="0"/>
          <w:i/>
          <w:sz w:val="24"/>
        </w:rPr>
        <w:t>k</w:t>
      </w:r>
      <w:r>
        <w:rPr>
          <w:rFonts w:ascii="Times New Roman" w:hAnsi="Times New Roman"/>
          <w:b w:val="0"/>
          <w:i w:val="0"/>
          <w:sz w:val="24"/>
        </w:rPr>
        <w:t xml:space="preserve"> = 7), followed by categorical highest educational attainment (university degree vs. lower; </w:t>
      </w:r>
      <w:r>
        <w:rPr>
          <w:rFonts w:ascii="Times New Roman" w:hAnsi="Times New Roman"/>
          <w:b w:val="0"/>
          <w:i/>
          <w:sz w:val="24"/>
        </w:rPr>
        <w:t>k</w:t>
      </w:r>
      <w:r>
        <w:rPr>
          <w:rFonts w:ascii="Times New Roman" w:hAnsi="Times New Roman"/>
          <w:b w:val="0"/>
          <w:i w:val="0"/>
          <w:sz w:val="24"/>
        </w:rPr>
        <w:t xml:space="preserve"> = 5), and mean or highest parental education combined (</w:t>
      </w:r>
      <w:r>
        <w:rPr>
          <w:rFonts w:ascii="Times New Roman" w:hAnsi="Times New Roman"/>
          <w:b w:val="0"/>
          <w:i/>
          <w:sz w:val="24"/>
        </w:rPr>
        <w:t>k</w:t>
      </w:r>
      <w:r>
        <w:rPr>
          <w:rFonts w:ascii="Times New Roman" w:hAnsi="Times New Roman"/>
          <w:b w:val="0"/>
          <w:i w:val="0"/>
          <w:sz w:val="24"/>
        </w:rPr>
        <w:t xml:space="preserve"> = 4).</w:t>
      </w:r>
    </w:p>
    <w:p>
      <w:pPr>
        <w:jc w:val="left"/>
        <w:spacing w:before="0" w:after="120" w:line="480" w:lineRule="auto"/>
      </w:pPr>
      <w:r>
        <w:rPr>
          <w:rFonts w:ascii="Times New Roman" w:hAnsi="Times New Roman"/>
          <w:b w:val="0"/>
          <w:i w:val="0"/>
          <w:sz w:val="24"/>
        </w:rPr>
        <w:t>Fifteen of the 16 studies (94%) reported a positive association between higher parental education and more mature or stronger neural indices. One study (Wienke et al., 2024) reported a negative pattern, specifically among infants of low-educated migrant families, in the context of migration-related exposure heterogeneity (see Section 3.3 for details). Study designs were predominantly cross-sectional (</w:t>
      </w:r>
      <w:r>
        <w:rPr>
          <w:rFonts w:ascii="Times New Roman" w:hAnsi="Times New Roman"/>
          <w:b w:val="0"/>
          <w:i/>
          <w:sz w:val="24"/>
        </w:rPr>
        <w:t>k</w:t>
      </w:r>
      <w:r>
        <w:rPr>
          <w:rFonts w:ascii="Times New Roman" w:hAnsi="Times New Roman"/>
          <w:b w:val="0"/>
          <w:i w:val="0"/>
          <w:sz w:val="24"/>
        </w:rPr>
        <w:t xml:space="preserve"> = 12); four studies employed longitudinal designs with follow-up intervals ranging from 6 months to 3 years.</w:t>
      </w:r>
    </w:p>
    <w:p>
      <w:pPr>
        <w:jc w:val="left"/>
        <w:spacing w:before="0" w:after="120" w:line="480" w:lineRule="auto"/>
      </w:pPr>
      <w:r>
        <w:rPr>
          <w:rFonts w:ascii="Times New Roman" w:hAnsi="Times New Roman"/>
          <w:b/>
          <w:i w:val="0"/>
          <w:sz w:val="24"/>
        </w:rPr>
        <w:t>Table 1. Characteristics of included studies (N = 16)</w:t>
      </w:r>
    </w:p>
    <w:tbl>
      <w:tblPr>
        <w:tblStyle w:val="TableGrid"/>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40"/>
        <w:gridCol w:w="1040"/>
        <w:gridCol w:w="1040"/>
        <w:gridCol w:w="1040"/>
        <w:gridCol w:w="1040"/>
        <w:gridCol w:w="1040"/>
        <w:gridCol w:w="1040"/>
        <w:gridCol w:w="1040"/>
        <w:gridCol w:w="1040"/>
      </w:tblGrid>
      <w:tr>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Study</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Country</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sz w:val="20"/>
              </w:rPr>
              <w:t>N</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Age at measure</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Design</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Modality</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Education operationalization</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Effect direction</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NOS</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Wienke et al. (2024)</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Germany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255</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6–14 months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ERP</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Negative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Wijeakumar et al. (2019)</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India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35</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5–8 years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fNIRS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(categorical);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Stiver et al. (2015)</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Canada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26</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Term-equivalent age → 2 years corrected age (longitudinal)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Longitudinal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sMRI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(categorical);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8</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Brito &amp; Noble (2020)</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179</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6–12 months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rsEEG</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McKinnon et al. (2023)</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UK</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261</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Neonatal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sMRI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(categorical);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9</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Zhu et al. (2023)</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USA/UK/Norway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373</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Birth–8 years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Longitudinal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sMRI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Konrad et al. (2024)</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Canada/Germany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162</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Neonatal (preterm; two MRI timepoints)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Longitudinal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sMRI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(categorical);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Demir-Lira et al. (2021)</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42</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6–13 years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fMRI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Ramphal et al. (2020)</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112</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Neonatal → 2 years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Longitudinal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fMRI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8</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Ozernov-Palchik et al. (2019)</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125</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5–8 years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DTI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(years);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Turesky et al. (2022)</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38</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~8.6 months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DTI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Maguire &amp; Schneider (2019)</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90</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8–15 years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rsEEG</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Shephard et al. (2019)</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Brazil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31</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 months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rsEEG</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(categorical);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Conejero et al. (2018)</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Spain</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52</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16–18 months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ERP/EEG</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(years/categorical);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Ursache &amp; Noble (2016)</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107</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3–21 years (focus 6–9y)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DTI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8</w:t>
            </w:r>
          </w:p>
        </w:tc>
      </w:tr>
      <w:tr>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Lange et al. (2010)</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UK</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309</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4–18 years</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sMRI</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(categorical); edu-only</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bl>
    <w:p/>
    <w:p>
      <w:pPr>
        <w:jc w:val="left"/>
        <w:spacing w:before="120" w:after="120" w:line="360" w:lineRule="auto"/>
      </w:pPr>
      <w:r>
        <w:rPr>
          <w:rFonts w:ascii="Times New Roman" w:hAnsi="Times New Roman"/>
          <w:b/>
          <w:i/>
          <w:sz w:val="20"/>
        </w:rPr>
        <w:t>Note.</w:t>
      </w:r>
      <w:r>
        <w:rPr>
          <w:rFonts w:ascii="Times New Roman" w:hAnsi="Times New Roman"/>
          <w:b w:val="0"/>
          <w:i w:val="0"/>
          <w:sz w:val="20"/>
        </w:rPr>
        <w:t xml:space="preserve"> NOS = Newcastle–Ottawa Scale total score (range 0–9; ≥7 = high quality, 5–6 = moderate, ≤4 = low). Effect direction classified as positive when higher parental education was associated with a more mature, stronger, or larger neural index; negative when higher parental education was associated with reduced amplitude, lower connectivity, or a less differentiated neural response. † Original </w:t>
      </w:r>
      <w:r>
        <w:rPr>
          <w:rFonts w:ascii="Times New Roman" w:hAnsi="Times New Roman"/>
          <w:b w:val="0"/>
          <w:i/>
          <w:sz w:val="20"/>
        </w:rPr>
        <w:t>p</w:t>
      </w:r>
      <w:r>
        <w:rPr>
          <w:rFonts w:ascii="Times New Roman" w:hAnsi="Times New Roman"/>
          <w:b w:val="0"/>
          <w:i w:val="0"/>
          <w:sz w:val="20"/>
        </w:rPr>
        <w:t xml:space="preserve"> = .025; association did not survive false-discovery rate (FDR) correction.</w:t>
      </w:r>
    </w:p>
    <w:p>
      <w:pPr>
        <w:pStyle w:val="Heading2"/>
        <w:spacing w:before="200" w:after="40" w:line="360" w:lineRule="auto"/>
      </w:pPr>
      <w:r>
        <w:rPr>
          <w:rFonts w:ascii="Times New Roman" w:hAnsi="Times New Roman"/>
          <w:b/>
          <w:sz w:val="26"/>
        </w:rPr>
        <w:t>3.2 Study quality</w:t>
      </w:r>
    </w:p>
    <w:p>
      <w:pPr>
        <w:jc w:val="left"/>
        <w:spacing w:before="0" w:after="120" w:line="480" w:lineRule="auto"/>
      </w:pPr>
      <w:r>
        <w:rPr>
          <w:rFonts w:ascii="Times New Roman" w:hAnsi="Times New Roman"/>
          <w:b w:val="0"/>
          <w:i w:val="0"/>
          <w:sz w:val="24"/>
        </w:rPr>
        <w:t>NOS scores ranged from 6 to 9 (mean = 7.1, SD = 0.8). Twelve of 16 studies (75%) were rated high quality (NOS ≥ 7); four studies (25%) were rated moderate quality (NOS = 6). No study was rated low quality. Higher-scoring studies tended to be longitudinal designs (e.g., Stiver et al., 2015, NOS = 8; Ramphal et al., 2020, NOS = 8) or neonatal cohort studies with prospective assessment of parental education prior to birth (McKinnon et al., 2023, NOS = 9). The principal sources of point deductions were: absence of a non-exposed comparison group (NOS comparability domain), reliance on parent-reported education without independent verification, and outcome assessment not blinded to exposure status. Detailed NOS scores by domain are provided in Supplementary Table S1.</w:t>
      </w:r>
    </w:p>
    <w:p>
      <w:pPr>
        <w:pStyle w:val="Heading2"/>
        <w:spacing w:before="200" w:after="40" w:line="360" w:lineRule="auto"/>
      </w:pPr>
      <w:r>
        <w:rPr>
          <w:rFonts w:ascii="Times New Roman" w:hAnsi="Times New Roman"/>
          <w:b/>
          <w:sz w:val="26"/>
        </w:rPr>
        <w:t>3.3 Electrophysiological evidence: resting-state EEG and event-related potentials</w:t>
      </w:r>
    </w:p>
    <w:p>
      <w:pPr>
        <w:jc w:val="left"/>
        <w:spacing w:before="0" w:after="120" w:line="480" w:lineRule="auto"/>
      </w:pPr>
      <w:r>
        <w:rPr>
          <w:rFonts w:ascii="Times New Roman" w:hAnsi="Times New Roman"/>
          <w:b w:val="0"/>
          <w:i w:val="0"/>
          <w:sz w:val="24"/>
        </w:rPr>
        <w:t>Five studies examined electrophysiological markers—three using resting-state EEG and two using ERP components—covering infant, toddler, and school-age samples.</w:t>
      </w:r>
    </w:p>
    <w:p>
      <w:pPr>
        <w:pStyle w:val="Heading3"/>
        <w:spacing w:before="160" w:after="40" w:line="360" w:lineRule="auto"/>
      </w:pPr>
      <w:r>
        <w:rPr>
          <w:rFonts w:ascii="Times New Roman" w:hAnsi="Times New Roman"/>
          <w:b/>
          <w:sz w:val="24"/>
        </w:rPr>
        <w:t>3.3.1 Resting-state EEG</w:t>
      </w:r>
    </w:p>
    <w:p>
      <w:pPr>
        <w:jc w:val="left"/>
        <w:spacing w:before="0" w:after="120" w:line="480" w:lineRule="auto"/>
      </w:pPr>
      <w:r>
        <w:rPr>
          <w:rFonts w:ascii="Times New Roman" w:hAnsi="Times New Roman"/>
          <w:b/>
          <w:i w:val="0"/>
          <w:sz w:val="24"/>
        </w:rPr>
        <w:t>Brito &amp; Noble (2020)</w:t>
      </w:r>
      <w:r>
        <w:rPr>
          <w:rFonts w:ascii="Times New Roman" w:hAnsi="Times New Roman"/>
          <w:b w:val="0"/>
          <w:i w:val="0"/>
          <w:sz w:val="24"/>
        </w:rPr>
        <w:t xml:space="preserve"> examined resting-state EEG power in a sample of 179 infants aged 6–12 months in the United States. Parental education was operationalized as a continuous composite index including maternal and paternal years of schooling; a regression coefficient was separately estimable. After controlling for income and other SES indicators, higher parental education was independently associated with greater posterior alpha/beta power (</w:t>
      </w:r>
      <w:r>
        <w:rPr>
          <w:rFonts w:ascii="Times New Roman" w:hAnsi="Times New Roman"/>
          <w:b w:val="0"/>
          <w:i/>
          <w:sz w:val="24"/>
        </w:rPr>
        <w:t>β</w:t>
      </w:r>
      <w:r>
        <w:rPr>
          <w:rFonts w:ascii="Times New Roman" w:hAnsi="Times New Roman"/>
          <w:b w:val="0"/>
          <w:i w:val="0"/>
          <w:sz w:val="24"/>
        </w:rPr>
        <w:t xml:space="preserve"> = 0.05, </w:t>
      </w:r>
      <w:r>
        <w:rPr>
          <w:rFonts w:ascii="Times New Roman" w:hAnsi="Times New Roman"/>
          <w:b w:val="0"/>
          <w:i/>
          <w:sz w:val="24"/>
        </w:rPr>
        <w:t>p</w:t>
      </w:r>
      <w:r>
        <w:rPr>
          <w:rFonts w:ascii="Times New Roman" w:hAnsi="Times New Roman"/>
          <w:b w:val="0"/>
          <w:i w:val="0"/>
          <w:sz w:val="24"/>
        </w:rPr>
        <w:t xml:space="preserve"> = .025†). This pattern is consistent with more advanced cortical maturation in infancy, when alpha rhythms are emerging as markers of thalamocortical organization (Marshall &amp; Meltzoff, 2014), though the association did not survive false-discovery rate (FDR) correction and should be interpreted cautiously.</w:t>
      </w:r>
    </w:p>
    <w:p>
      <w:pPr>
        <w:jc w:val="left"/>
        <w:spacing w:before="0" w:after="120" w:line="480" w:lineRule="auto"/>
      </w:pPr>
      <w:r>
        <w:rPr>
          <w:rFonts w:ascii="Times New Roman" w:hAnsi="Times New Roman"/>
          <w:b/>
          <w:i w:val="0"/>
          <w:sz w:val="24"/>
        </w:rPr>
        <w:t>Maguire &amp; Schneider (2019)</w:t>
      </w:r>
      <w:r>
        <w:rPr>
          <w:rFonts w:ascii="Times New Roman" w:hAnsi="Times New Roman"/>
          <w:b w:val="0"/>
          <w:i w:val="0"/>
          <w:sz w:val="24"/>
        </w:rPr>
        <w:t xml:space="preserve"> studied resting-state EEG in 90 school-age children (8–15 years) in the United States, drawn from a sample spanning low-to-high income households. Two separate analyses were reported. First, income-group comparisons showed that children from low-income families had significantly lower alpha power (</w:t>
      </w:r>
      <w:r>
        <w:rPr>
          <w:rFonts w:ascii="Times New Roman" w:hAnsi="Times New Roman"/>
          <w:b w:val="0"/>
          <w:i/>
          <w:sz w:val="24"/>
        </w:rPr>
        <w:t>t</w:t>
      </w:r>
      <w:r>
        <w:rPr>
          <w:rFonts w:ascii="Times New Roman" w:hAnsi="Times New Roman"/>
          <w:b w:val="0"/>
          <w:i w:val="0"/>
          <w:sz w:val="24"/>
        </w:rPr>
        <w:t xml:space="preserve"> = 2.45, </w:t>
      </w:r>
      <w:r>
        <w:rPr>
          <w:rFonts w:ascii="Times New Roman" w:hAnsi="Times New Roman"/>
          <w:b w:val="0"/>
          <w:i/>
          <w:sz w:val="24"/>
        </w:rPr>
        <w:t>p</w:t>
      </w:r>
      <w:r>
        <w:rPr>
          <w:rFonts w:ascii="Times New Roman" w:hAnsi="Times New Roman"/>
          <w:b w:val="0"/>
          <w:i w:val="0"/>
          <w:sz w:val="24"/>
        </w:rPr>
        <w:t xml:space="preserve"> = .02) and higher theta power (</w:t>
      </w:r>
      <w:r>
        <w:rPr>
          <w:rFonts w:ascii="Times New Roman" w:hAnsi="Times New Roman"/>
          <w:b w:val="0"/>
          <w:i/>
          <w:sz w:val="24"/>
        </w:rPr>
        <w:t>t</w:t>
      </w:r>
      <w:r>
        <w:rPr>
          <w:rFonts w:ascii="Times New Roman" w:hAnsi="Times New Roman"/>
          <w:b w:val="0"/>
          <w:i w:val="0"/>
          <w:sz w:val="24"/>
        </w:rPr>
        <w:t xml:space="preserve"> = −2.80, </w:t>
      </w:r>
      <w:r>
        <w:rPr>
          <w:rFonts w:ascii="Times New Roman" w:hAnsi="Times New Roman"/>
          <w:b w:val="0"/>
          <w:i/>
          <w:sz w:val="24"/>
        </w:rPr>
        <w:t>p</w:t>
      </w:r>
      <w:r>
        <w:rPr>
          <w:rFonts w:ascii="Times New Roman" w:hAnsi="Times New Roman"/>
          <w:b w:val="0"/>
          <w:i w:val="0"/>
          <w:sz w:val="24"/>
        </w:rPr>
        <w:t xml:space="preserve"> = .007) than higher-income peers—a pattern associated with less mature cortical organization. Second, in an independent regression analysis, maternal education (not income group) independently predicted vocabulary size (</w:t>
      </w:r>
      <w:r>
        <w:rPr>
          <w:rFonts w:ascii="Times New Roman" w:hAnsi="Times New Roman"/>
          <w:b w:val="0"/>
          <w:i/>
          <w:sz w:val="24"/>
        </w:rPr>
        <w:t>β</w:t>
      </w:r>
      <w:r>
        <w:rPr>
          <w:rFonts w:ascii="Times New Roman" w:hAnsi="Times New Roman"/>
          <w:b w:val="0"/>
          <w:i w:val="0"/>
          <w:sz w:val="24"/>
        </w:rPr>
        <w:t xml:space="preserve"> = 0.31, </w:t>
      </w:r>
      <w:r>
        <w:rPr>
          <w:rFonts w:ascii="Times New Roman" w:hAnsi="Times New Roman"/>
          <w:b w:val="0"/>
          <w:i/>
          <w:sz w:val="24"/>
        </w:rPr>
        <w:t>p</w:t>
      </w:r>
      <w:r>
        <w:rPr>
          <w:rFonts w:ascii="Times New Roman" w:hAnsi="Times New Roman"/>
          <w:b w:val="0"/>
          <w:i w:val="0"/>
          <w:sz w:val="24"/>
        </w:rPr>
        <w:t xml:space="preserve"> = .02), after controlling for income and raw EEG metrics. These two analyses address different questions and are not directly linked: the income-EEG association reflects group-level differences in cortical maturation, whereas the education-vocabulary regression demonstrates that maternal education carries unique predictive weight for lexical development beyond household financial resources. The education-vocabulary finding points to a pathway from maternal educational attainment through language input quality to lexical development that is not reducible to income-related neural differences.</w:t>
      </w:r>
    </w:p>
    <w:p>
      <w:pPr>
        <w:jc w:val="left"/>
        <w:spacing w:before="0" w:after="120" w:line="480" w:lineRule="auto"/>
      </w:pPr>
      <w:r>
        <w:rPr>
          <w:rFonts w:ascii="Times New Roman" w:hAnsi="Times New Roman"/>
          <w:b/>
          <w:i w:val="0"/>
          <w:sz w:val="24"/>
        </w:rPr>
        <w:t>Shephard et al. (2019)</w:t>
      </w:r>
      <w:r>
        <w:rPr>
          <w:rFonts w:ascii="Times New Roman" w:hAnsi="Times New Roman"/>
          <w:b w:val="0"/>
          <w:i w:val="0"/>
          <w:sz w:val="24"/>
        </w:rPr>
        <w:t xml:space="preserve"> examined resting-state EEG in 31 infants aged 6 months born to adolescent mothers living in poverty in São Paulo, Brazil. Maternal education level (categorical, five levels) was the primary exposure alongside maternal psychopathology. Using cluster-based permutation testing and network-based statistics, lower maternal education was independently associated with weaker alpha-band functional connectivity (network statistic effect size </w:t>
      </w:r>
      <w:r>
        <w:rPr>
          <w:rFonts w:ascii="Times New Roman" w:hAnsi="Times New Roman"/>
          <w:b w:val="0"/>
          <w:i/>
          <w:sz w:val="24"/>
        </w:rPr>
        <w:t>d</w:t>
      </w:r>
      <w:r>
        <w:rPr>
          <w:rFonts w:ascii="Times New Roman" w:hAnsi="Times New Roman"/>
          <w:b w:val="0"/>
          <w:i w:val="0"/>
          <w:sz w:val="24"/>
        </w:rPr>
        <w:t xml:space="preserve"> = 0.61), after covarying for group (adolescent vs. adult mother). This finding is notable for two reasons. First, it extends the parental education–EEG association to a low-income, non-Western context—the only such sample in this review alongside Wijeakumar et al. (2019). Second, the alpha connectivity measure captures network-level organization rather than power at individual electrodes, providing a complementary index of cortical maturation to the power-based findings of Brito &amp; Noble (2020) and Maguire &amp; Schneider (2019). The small final EEG sample (</w:t>
      </w:r>
      <w:r>
        <w:rPr>
          <w:rFonts w:ascii="Times New Roman" w:hAnsi="Times New Roman"/>
          <w:b w:val="0"/>
          <w:i/>
          <w:sz w:val="24"/>
        </w:rPr>
        <w:t>n</w:t>
      </w:r>
      <w:r>
        <w:rPr>
          <w:rFonts w:ascii="Times New Roman" w:hAnsi="Times New Roman"/>
          <w:b w:val="0"/>
          <w:i w:val="0"/>
          <w:sz w:val="24"/>
        </w:rPr>
        <w:t xml:space="preserve"> = 31) limits statistical power, and the pilot design precludes strong causal inference.</w:t>
      </w:r>
    </w:p>
    <w:p>
      <w:pPr>
        <w:jc w:val="left"/>
        <w:spacing w:before="0" w:after="120" w:line="480" w:lineRule="auto"/>
      </w:pPr>
      <w:r>
        <w:rPr>
          <w:rFonts w:ascii="Times New Roman" w:hAnsi="Times New Roman"/>
          <w:b w:val="0"/>
          <w:i w:val="0"/>
          <w:sz w:val="24"/>
        </w:rPr>
        <w:t>The three resting-state EEG studies, read together, show a consistent pattern: higher parental education is associated with more differentiated and mature neural responses across multiple EEG indices, with evidence from two continents (North America and South America). The important caveat that migration-related linguistic diversity may modulate or partially reverse this pattern in infant auditory processing is noted for the Wienke et al. (2024) ERP findings, which stand apart as the review's sole negative result.</w:t>
      </w:r>
    </w:p>
    <w:p>
      <w:pPr>
        <w:pStyle w:val="Heading3"/>
        <w:spacing w:before="160" w:after="40" w:line="360" w:lineRule="auto"/>
      </w:pPr>
      <w:r>
        <w:rPr>
          <w:rFonts w:ascii="Times New Roman" w:hAnsi="Times New Roman"/>
          <w:b/>
          <w:sz w:val="24"/>
        </w:rPr>
        <w:t>3.3.2 Event-related potentials</w:t>
      </w:r>
    </w:p>
    <w:p>
      <w:pPr>
        <w:jc w:val="left"/>
        <w:spacing w:before="0" w:after="120" w:line="480" w:lineRule="auto"/>
      </w:pPr>
      <w:r>
        <w:rPr>
          <w:rFonts w:ascii="Times New Roman" w:hAnsi="Times New Roman"/>
          <w:b/>
          <w:i w:val="0"/>
          <w:sz w:val="24"/>
        </w:rPr>
        <w:t>Conejero et al. (2018)</w:t>
      </w:r>
      <w:r>
        <w:rPr>
          <w:rFonts w:ascii="Times New Roman" w:hAnsi="Times New Roman"/>
          <w:b w:val="0"/>
          <w:i w:val="0"/>
          <w:sz w:val="24"/>
        </w:rPr>
        <w:t xml:space="preserve"> examined error-monitoring neural responses in 52 toddlers (aged 16–18 months; final analysable sample after exclusions) in Spain. Using a passive puzzle-error observation paradigm—in which toddlers watched puzzle pieces being assembled correctly or incorrectly—the study recorded both the error-related negativity (ERN; a fronto-central time-domain component) and frontal theta power (4–7 Hz; a frequency-domain measure of the same error-detection process). Separate simple linear regressions were conducted for each SES predictor. When parental education (years of schooling) was entered as the sole predictor, it independently predicted a larger (more negative) ERN amplitude (</w:t>
      </w:r>
      <w:r>
        <w:rPr>
          <w:rFonts w:ascii="Times New Roman" w:hAnsi="Times New Roman"/>
          <w:b w:val="0"/>
          <w:i/>
          <w:sz w:val="24"/>
        </w:rPr>
        <w:t>β</w:t>
      </w:r>
      <w:r>
        <w:rPr>
          <w:rFonts w:ascii="Times New Roman" w:hAnsi="Times New Roman"/>
          <w:b w:val="0"/>
          <w:i w:val="0"/>
          <w:sz w:val="24"/>
        </w:rPr>
        <w:t xml:space="preserve"> = .31, </w:t>
      </w:r>
      <w:r>
        <w:rPr>
          <w:rFonts w:ascii="Times New Roman" w:hAnsi="Times New Roman"/>
          <w:b w:val="0"/>
          <w:i/>
          <w:sz w:val="24"/>
        </w:rPr>
        <w:t>F</w:t>
      </w:r>
      <w:r>
        <w:rPr>
          <w:rFonts w:ascii="Times New Roman" w:hAnsi="Times New Roman"/>
          <w:b w:val="0"/>
          <w:i w:val="0"/>
          <w:sz w:val="24"/>
        </w:rPr>
        <w:t xml:space="preserve">(1, 51) = 5.03, </w:t>
      </w:r>
      <w:r>
        <w:rPr>
          <w:rFonts w:ascii="Times New Roman" w:hAnsi="Times New Roman"/>
          <w:b w:val="0"/>
          <w:i/>
          <w:sz w:val="24"/>
        </w:rPr>
        <w:t>p</w:t>
      </w:r>
      <w:r>
        <w:rPr>
          <w:rFonts w:ascii="Times New Roman" w:hAnsi="Times New Roman"/>
          <w:b w:val="0"/>
          <w:i w:val="0"/>
          <w:sz w:val="24"/>
        </w:rPr>
        <w:t xml:space="preserve"> &lt; .05; </w:t>
      </w:r>
      <w:r>
        <w:rPr>
          <w:rFonts w:ascii="Times New Roman" w:hAnsi="Times New Roman"/>
          <w:b w:val="0"/>
          <w:i/>
          <w:sz w:val="24"/>
        </w:rPr>
        <w:t>R²</w:t>
      </w:r>
      <w:r>
        <w:rPr>
          <w:rFonts w:ascii="Times New Roman" w:hAnsi="Times New Roman"/>
          <w:b w:val="0"/>
          <w:i w:val="0"/>
          <w:sz w:val="24"/>
        </w:rPr>
        <w:t xml:space="preserve"> = .10). A parallel regression with the composite SES index (combining education, occupation, and income) as the sole predictor accounted for greater variance (</w:t>
      </w:r>
      <w:r>
        <w:rPr>
          <w:rFonts w:ascii="Times New Roman" w:hAnsi="Times New Roman"/>
          <w:b w:val="0"/>
          <w:i/>
          <w:sz w:val="24"/>
        </w:rPr>
        <w:t>β</w:t>
      </w:r>
      <w:r>
        <w:rPr>
          <w:rFonts w:ascii="Times New Roman" w:hAnsi="Times New Roman"/>
          <w:b w:val="0"/>
          <w:i w:val="0"/>
          <w:sz w:val="24"/>
        </w:rPr>
        <w:t xml:space="preserve"> = .355, </w:t>
      </w:r>
      <w:r>
        <w:rPr>
          <w:rFonts w:ascii="Times New Roman" w:hAnsi="Times New Roman"/>
          <w:b w:val="0"/>
          <w:i/>
          <w:sz w:val="24"/>
        </w:rPr>
        <w:t>F</w:t>
      </w:r>
      <w:r>
        <w:rPr>
          <w:rFonts w:ascii="Times New Roman" w:hAnsi="Times New Roman"/>
          <w:b w:val="0"/>
          <w:i w:val="0"/>
          <w:sz w:val="24"/>
        </w:rPr>
        <w:t xml:space="preserve">(1, 51) = 7.10, </w:t>
      </w:r>
      <w:r>
        <w:rPr>
          <w:rFonts w:ascii="Times New Roman" w:hAnsi="Times New Roman"/>
          <w:b w:val="0"/>
          <w:i/>
          <w:sz w:val="24"/>
        </w:rPr>
        <w:t>p</w:t>
      </w:r>
      <w:r>
        <w:rPr>
          <w:rFonts w:ascii="Times New Roman" w:hAnsi="Times New Roman"/>
          <w:b w:val="0"/>
          <w:i w:val="0"/>
          <w:sz w:val="24"/>
        </w:rPr>
        <w:t xml:space="preserve"> &lt; .05; </w:t>
      </w:r>
      <w:r>
        <w:rPr>
          <w:rFonts w:ascii="Times New Roman" w:hAnsi="Times New Roman"/>
          <w:b w:val="0"/>
          <w:i/>
          <w:sz w:val="24"/>
        </w:rPr>
        <w:t>R²</w:t>
      </w:r>
      <w:r>
        <w:rPr>
          <w:rFonts w:ascii="Times New Roman" w:hAnsi="Times New Roman"/>
          <w:b w:val="0"/>
          <w:i w:val="0"/>
          <w:sz w:val="24"/>
        </w:rPr>
        <w:t xml:space="preserve"> = .13), indicating that education contributes independently but that broader socioeconomic context captures additional explanatory power. Parental education showed a marginal association with frontal theta power in a third separate regression (</w:t>
      </w:r>
      <w:r>
        <w:rPr>
          <w:rFonts w:ascii="Times New Roman" w:hAnsi="Times New Roman"/>
          <w:b w:val="0"/>
          <w:i/>
          <w:sz w:val="24"/>
        </w:rPr>
        <w:t>β</w:t>
      </w:r>
      <w:r>
        <w:rPr>
          <w:rFonts w:ascii="Times New Roman" w:hAnsi="Times New Roman"/>
          <w:b w:val="0"/>
          <w:i w:val="0"/>
          <w:sz w:val="24"/>
        </w:rPr>
        <w:t xml:space="preserve"> = .25, </w:t>
      </w:r>
      <w:r>
        <w:rPr>
          <w:rFonts w:ascii="Times New Roman" w:hAnsi="Times New Roman"/>
          <w:b w:val="0"/>
          <w:i/>
          <w:sz w:val="24"/>
        </w:rPr>
        <w:t>F</w:t>
      </w:r>
      <w:r>
        <w:rPr>
          <w:rFonts w:ascii="Times New Roman" w:hAnsi="Times New Roman"/>
          <w:b w:val="0"/>
          <w:i w:val="0"/>
          <w:sz w:val="24"/>
        </w:rPr>
        <w:t xml:space="preserve">(1, 51) = 3.47, </w:t>
      </w:r>
      <w:r>
        <w:rPr>
          <w:rFonts w:ascii="Times New Roman" w:hAnsi="Times New Roman"/>
          <w:b w:val="0"/>
          <w:i/>
          <w:sz w:val="24"/>
        </w:rPr>
        <w:t>p</w:t>
      </w:r>
      <w:r>
        <w:rPr>
          <w:rFonts w:ascii="Times New Roman" w:hAnsi="Times New Roman"/>
          <w:b w:val="0"/>
          <w:i w:val="0"/>
          <w:sz w:val="24"/>
        </w:rPr>
        <w:t xml:space="preserve"> = .07). This is notable because the ERN is typically not robust until 5–6 years in Western samples (Davies et al., 2004; Torpey et al., 2009); its detectability in toddlers and its systematic variation with parental education implies that the neural substrates of cognitive control begin differentiating by SES-related environmental input within the first two years of life. The ERN finding was localized to fronto-central electrodes (Fz, FCz), consistent with an anterior cingulate cortex generator (van Veen &amp; Carter, 2002).</w:t>
      </w:r>
    </w:p>
    <w:p>
      <w:pPr>
        <w:jc w:val="left"/>
        <w:spacing w:before="0" w:after="120" w:line="480" w:lineRule="auto"/>
      </w:pPr>
      <w:r>
        <w:rPr>
          <w:rFonts w:ascii="Times New Roman" w:hAnsi="Times New Roman"/>
          <w:b/>
          <w:i w:val="0"/>
          <w:sz w:val="24"/>
        </w:rPr>
        <w:t>Wienke et al. (2024)</w:t>
      </w:r>
      <w:r>
        <w:rPr>
          <w:rFonts w:ascii="Times New Roman" w:hAnsi="Times New Roman"/>
          <w:b w:val="0"/>
          <w:i w:val="0"/>
          <w:sz w:val="24"/>
        </w:rPr>
        <w:t xml:space="preserve"> provides the review's only negative finding. This study examined ERP responses to auditory oddball stimuli (mismatch negativity paradigm) in 255 infants (aged 6–14 months) in Germany. The sample included both infants from families where German was the primary language and infants from migrant families with diverse linguistic backgrounds; parental education was a continuous covariate in a composite SES model. Children of lower-educated parents did not show reduced ERP differentiation in the expected direction; rather, they exhibited more positive-going ERP amplitudes, reflecting </w:t>
      </w:r>
      <w:r>
        <w:rPr>
          <w:rFonts w:ascii="Times New Roman" w:hAnsi="Times New Roman"/>
          <w:b w:val="0"/>
          <w:i/>
          <w:sz w:val="24"/>
        </w:rPr>
        <w:t>less</w:t>
      </w:r>
      <w:r>
        <w:rPr>
          <w:rFonts w:ascii="Times New Roman" w:hAnsi="Times New Roman"/>
          <w:b w:val="0"/>
          <w:i w:val="0"/>
          <w:sz w:val="24"/>
        </w:rPr>
        <w:t xml:space="preserve"> neural differentiation between standard and deviant stimuli (</w:t>
      </w:r>
      <w:r>
        <w:rPr>
          <w:rFonts w:ascii="Times New Roman" w:hAnsi="Times New Roman"/>
          <w:b w:val="0"/>
          <w:i/>
          <w:sz w:val="24"/>
        </w:rPr>
        <w:t>F</w:t>
      </w:r>
      <w:r>
        <w:rPr>
          <w:rFonts w:ascii="Times New Roman" w:hAnsi="Times New Roman"/>
          <w:b w:val="0"/>
          <w:i w:val="0"/>
          <w:sz w:val="24"/>
        </w:rPr>
        <w:t xml:space="preserve">(3, 250) = 2.7, </w:t>
      </w:r>
      <w:r>
        <w:rPr>
          <w:rFonts w:ascii="Times New Roman" w:hAnsi="Times New Roman"/>
          <w:b w:val="0"/>
          <w:i/>
          <w:sz w:val="24"/>
        </w:rPr>
        <w:t>p</w:t>
      </w:r>
      <w:r>
        <w:rPr>
          <w:rFonts w:ascii="Times New Roman" w:hAnsi="Times New Roman"/>
          <w:b w:val="0"/>
          <w:i w:val="0"/>
          <w:sz w:val="24"/>
        </w:rPr>
        <w:t xml:space="preserve"> = .049). This pattern is inconsistent with the expected direction—where larger MMN or more negative responses indicate more mature auditory discrimination—and is interpretable in light of the study's sample characteristics. The migrant sub-sample, which overlapped substantially with the low-education group, showed distinct auditory exposure profiles (multilingual input, variable prosodic environments) relative to the monolingual German majority. Thus, the "negative" direction likely reflects a complex interaction between parental education, migration background, and linguistic environment, rather than straightforward neural attenuation. The authors themselves caution against interpreting this result as evidence that low parental education universally impairs early auditory neural processing.</w:t>
      </w:r>
    </w:p>
    <w:p>
      <w:pPr>
        <w:pStyle w:val="Heading2"/>
        <w:spacing w:before="200" w:after="40" w:line="360" w:lineRule="auto"/>
      </w:pPr>
      <w:r>
        <w:rPr>
          <w:rFonts w:ascii="Times New Roman" w:hAnsi="Times New Roman"/>
          <w:b/>
          <w:sz w:val="26"/>
        </w:rPr>
        <w:t>3.4 Functional near-infrared spectroscopy evidence</w:t>
      </w:r>
    </w:p>
    <w:p>
      <w:pPr>
        <w:jc w:val="left"/>
        <w:spacing w:before="0" w:after="120" w:line="480" w:lineRule="auto"/>
      </w:pPr>
      <w:r>
        <w:rPr>
          <w:rFonts w:ascii="Times New Roman" w:hAnsi="Times New Roman"/>
          <w:b w:val="0"/>
          <w:i w:val="0"/>
          <w:sz w:val="24"/>
        </w:rPr>
        <w:t>One study used fNIRS to examine the association between parental education and neural responses to a cognitive task in young children.</w:t>
      </w:r>
    </w:p>
    <w:p>
      <w:pPr>
        <w:jc w:val="left"/>
        <w:spacing w:before="0" w:after="120" w:line="480" w:lineRule="auto"/>
      </w:pPr>
      <w:r>
        <w:rPr>
          <w:rFonts w:ascii="Times New Roman" w:hAnsi="Times New Roman"/>
          <w:b/>
          <w:i w:val="0"/>
          <w:sz w:val="24"/>
        </w:rPr>
        <w:t>Wijeakumar et al. (2019)</w:t>
      </w:r>
      <w:r>
        <w:rPr>
          <w:rFonts w:ascii="Times New Roman" w:hAnsi="Times New Roman"/>
          <w:b w:val="0"/>
          <w:i w:val="0"/>
          <w:sz w:val="24"/>
        </w:rPr>
        <w:t xml:space="preserve"> compared prefrontal cortical activation during a spatial working memory task in two culturally distinct samples: 20 low-SES children from rural India (aged 5–8 years) and 15 middle-to-high SES children from the United States (aged 5–8 years). Maternal education was operationalized as the primary exposure variable and analyzed as an independent predictor across the combined sample (</w:t>
      </w:r>
      <w:r>
        <w:rPr>
          <w:rFonts w:ascii="Times New Roman" w:hAnsi="Times New Roman"/>
          <w:b w:val="0"/>
          <w:i/>
          <w:sz w:val="24"/>
        </w:rPr>
        <w:t>N</w:t>
      </w:r>
      <w:r>
        <w:rPr>
          <w:rFonts w:ascii="Times New Roman" w:hAnsi="Times New Roman"/>
          <w:b w:val="0"/>
          <w:i w:val="0"/>
          <w:sz w:val="24"/>
        </w:rPr>
        <w:t xml:space="preserve"> = 35). fNIRS data revealed that children of more highly educated mothers showed significantly greater activation in the inferior frontal gyrus (IFG) during working memory trials (</w:t>
      </w:r>
      <w:r>
        <w:rPr>
          <w:rFonts w:ascii="Times New Roman" w:hAnsi="Times New Roman"/>
          <w:b w:val="0"/>
          <w:i/>
          <w:sz w:val="24"/>
        </w:rPr>
        <w:t>F</w:t>
      </w:r>
      <w:r>
        <w:rPr>
          <w:rFonts w:ascii="Times New Roman" w:hAnsi="Times New Roman"/>
          <w:b w:val="0"/>
          <w:i w:val="0"/>
          <w:sz w:val="24"/>
        </w:rPr>
        <w:t xml:space="preserve">(1, 33) = 5.594, </w:t>
      </w:r>
      <w:r>
        <w:rPr>
          <w:rFonts w:ascii="Times New Roman" w:hAnsi="Times New Roman"/>
          <w:b w:val="0"/>
          <w:i/>
          <w:sz w:val="24"/>
        </w:rPr>
        <w:t>p</w:t>
      </w:r>
      <w:r>
        <w:rPr>
          <w:rFonts w:ascii="Times New Roman" w:hAnsi="Times New Roman"/>
          <w:b w:val="0"/>
          <w:i w:val="0"/>
          <w:sz w:val="24"/>
        </w:rPr>
        <w:t xml:space="preserve"> &lt; .05). This finding is notable for two reasons. First, IFG activation during spatial working memory tasks indexes the capacity to maintain and manipulate visuospatial representations—a precursor to later executive function competencies. Second, the cross-cultural design, while limiting direct inference about any single population, demonstrates that the maternal education–prefrontal activation association generalizes across substantially different socioeconomic and cultural contexts, arguing against it being a purely Western, high-income-country phenomenon. The study was constrained by a small combined sample (</w:t>
      </w:r>
      <w:r>
        <w:rPr>
          <w:rFonts w:ascii="Times New Roman" w:hAnsi="Times New Roman"/>
          <w:b w:val="0"/>
          <w:i/>
          <w:sz w:val="24"/>
        </w:rPr>
        <w:t>N</w:t>
      </w:r>
      <w:r>
        <w:rPr>
          <w:rFonts w:ascii="Times New Roman" w:hAnsi="Times New Roman"/>
          <w:b w:val="0"/>
          <w:i w:val="0"/>
          <w:sz w:val="24"/>
        </w:rPr>
        <w:t xml:space="preserve"> = 35), and the education effect is better interpreted as a within-country association than a between-country contrast given the large confound of cultural context in the cross-cultural comparison. Given that only a single fNIRS study met inclusion criteria, these findings should be considered preliminary and require independent replication before strong conclusions can be drawn.</w:t>
      </w:r>
    </w:p>
    <w:p>
      <w:pPr>
        <w:pStyle w:val="Heading2"/>
        <w:spacing w:before="200" w:after="40" w:line="360" w:lineRule="auto"/>
      </w:pPr>
      <w:r>
        <w:rPr>
          <w:rFonts w:ascii="Times New Roman" w:hAnsi="Times New Roman"/>
          <w:b/>
          <w:sz w:val="26"/>
        </w:rPr>
        <w:t>3.5 Neuroimaging evidence: structural MRI, functional MRI, and diffusion tensor imaging</w:t>
      </w:r>
    </w:p>
    <w:p>
      <w:pPr>
        <w:jc w:val="left"/>
        <w:spacing w:before="0" w:after="120" w:line="480" w:lineRule="auto"/>
      </w:pPr>
      <w:r>
        <w:rPr>
          <w:rFonts w:ascii="Times New Roman" w:hAnsi="Times New Roman"/>
          <w:b w:val="0"/>
          <w:i w:val="0"/>
          <w:sz w:val="24"/>
        </w:rPr>
        <w:t>Eleven studies used structural or functional neuroimaging methods, organized below by modality.</w:t>
      </w:r>
    </w:p>
    <w:p>
      <w:pPr>
        <w:pStyle w:val="Heading3"/>
        <w:spacing w:before="160" w:after="40" w:line="360" w:lineRule="auto"/>
      </w:pPr>
      <w:r>
        <w:rPr>
          <w:rFonts w:ascii="Times New Roman" w:hAnsi="Times New Roman"/>
          <w:b/>
          <w:sz w:val="24"/>
        </w:rPr>
        <w:t>3.5.1 Structural MRI</w:t>
      </w:r>
    </w:p>
    <w:p>
      <w:pPr>
        <w:jc w:val="left"/>
        <w:spacing w:before="0" w:after="120" w:line="480" w:lineRule="auto"/>
      </w:pPr>
      <w:r>
        <w:rPr>
          <w:rFonts w:ascii="Times New Roman" w:hAnsi="Times New Roman"/>
          <w:b w:val="0"/>
          <w:i w:val="0"/>
          <w:sz w:val="24"/>
        </w:rPr>
        <w:t>Five studies examined associations between parental education and macroscopic brain structure, including cortical surface area, subcortical volumes, and cerebellar morphometry.</w:t>
      </w:r>
    </w:p>
    <w:p>
      <w:pPr>
        <w:jc w:val="left"/>
        <w:spacing w:before="0" w:after="120" w:line="480" w:lineRule="auto"/>
      </w:pPr>
      <w:r>
        <w:rPr>
          <w:rFonts w:ascii="Times New Roman" w:hAnsi="Times New Roman"/>
          <w:b/>
          <w:i w:val="0"/>
          <w:sz w:val="24"/>
        </w:rPr>
        <w:t>McKinnon et al. (2023)</w:t>
      </w:r>
      <w:r>
        <w:rPr>
          <w:rFonts w:ascii="Times New Roman" w:hAnsi="Times New Roman"/>
          <w:b w:val="0"/>
          <w:i w:val="0"/>
          <w:sz w:val="24"/>
        </w:rPr>
        <w:t xml:space="preserve"> conducted the earliest-age structural MRI study in this review, assessing neonatal brain morphology at term-equivalent age in a cohort of 261 infants in the United Kingdom—170 extremely and very preterm infants (born &lt;33 weeks) and 91 full-term or near-term controls. Maternal education (university degree vs. lower) was included as a family-level SES exposure in exploratory analyses. Higher maternal education was independently associated with larger regional brain volumes across four parcels (left and right cerebella, left middle superior temporal gyrus, left anterior lateral occipitotemporal gyrus; </w:t>
      </w:r>
      <w:r>
        <w:rPr>
          <w:rFonts w:ascii="Times New Roman" w:hAnsi="Times New Roman"/>
          <w:b w:val="0"/>
          <w:i/>
          <w:sz w:val="24"/>
        </w:rPr>
        <w:t>β</w:t>
      </w:r>
      <w:r>
        <w:rPr>
          <w:rFonts w:ascii="Times New Roman" w:hAnsi="Times New Roman"/>
          <w:b w:val="0"/>
          <w:i w:val="0"/>
          <w:sz w:val="24"/>
        </w:rPr>
        <w:t xml:space="preserve"> range 0.09–0.15, all 261 infants after FDR correction and adjustment for gestational age at birth). Because all infants were assessed at or near term-equivalent age, before the accumulation of substantial independent learning experience, this finding is consistent with both prenatal and early postnatal environmental influences. This is the highest-quality study in the review (NOS = 9), and its demonstration that maternal education associations with brain structure are detectable alongside gestational age effects—even in a preterm-enriched sample—provides evidence for an early-emerging pathway from maternal education to neural structure that is not reducible to gestational maturity alone.</w:t>
      </w:r>
    </w:p>
    <w:p>
      <w:pPr>
        <w:jc w:val="left"/>
        <w:spacing w:before="0" w:after="120" w:line="480" w:lineRule="auto"/>
      </w:pPr>
      <w:r>
        <w:rPr>
          <w:rFonts w:ascii="Times New Roman" w:hAnsi="Times New Roman"/>
          <w:b/>
          <w:i w:val="0"/>
          <w:sz w:val="24"/>
        </w:rPr>
        <w:t>Konrad et al. (2024)</w:t>
      </w:r>
      <w:r>
        <w:rPr>
          <w:rFonts w:ascii="Times New Roman" w:hAnsi="Times New Roman"/>
          <w:b w:val="0"/>
          <w:i w:val="0"/>
          <w:sz w:val="24"/>
        </w:rPr>
        <w:t xml:space="preserve"> examined hippocampal development in a longitudinal cohort of 162 very preterm neonates (</w:t>
      </w:r>
      <w:r>
        <w:rPr>
          <w:rFonts w:ascii="Times New Roman" w:hAnsi="Times New Roman"/>
          <w:b w:val="0"/>
          <w:i/>
          <w:sz w:val="24"/>
        </w:rPr>
        <w:t>N</w:t>
      </w:r>
      <w:r>
        <w:rPr>
          <w:rFonts w:ascii="Times New Roman" w:hAnsi="Times New Roman"/>
          <w:b w:val="0"/>
          <w:i w:val="0"/>
          <w:sz w:val="24"/>
        </w:rPr>
        <w:t xml:space="preserve"> = 162 with SES data; 126 with 18-month cognitive outcome) recruited at the Hospital for Sick Children, Toronto, Canada, and Children's Hospital Dritter Orden, Munich, Germany. Structural and resting-state functional MRI were acquired at two time points: early-in-life (median PMA 32.9 weeks) and at term-equivalent age (median PMA 41.1 weeks). Maternal education (categorical: high school / college–undergraduate / postgraduate) was the primary SES measure. Contrary to a simple main-effect model, maternal education did not predict neonatal hippocampal volume per se. Instead, maternal education moderated the association between anterior hippocampal volume and 18-month Bayley-III cognitive scores (</w:t>
      </w:r>
      <w:r>
        <w:rPr>
          <w:rFonts w:ascii="Times New Roman" w:hAnsi="Times New Roman"/>
          <w:b w:val="0"/>
          <w:i/>
          <w:sz w:val="24"/>
        </w:rPr>
        <w:t>p</w:t>
      </w:r>
      <w:r>
        <w:rPr>
          <w:rFonts w:ascii="Times New Roman" w:hAnsi="Times New Roman"/>
          <w:b w:val="0"/>
          <w:i w:val="0"/>
          <w:sz w:val="24"/>
        </w:rPr>
        <w:t xml:space="preserve"> = .005 for the interaction) and between hippocampal functional connectivity and cognitive outcome (</w:t>
      </w:r>
      <w:r>
        <w:rPr>
          <w:rFonts w:ascii="Times New Roman" w:hAnsi="Times New Roman"/>
          <w:b w:val="0"/>
          <w:i/>
          <w:sz w:val="24"/>
        </w:rPr>
        <w:t>p</w:t>
      </w:r>
      <w:r>
        <w:rPr>
          <w:rFonts w:ascii="Times New Roman" w:hAnsi="Times New Roman"/>
          <w:b w:val="0"/>
          <w:i w:val="0"/>
          <w:sz w:val="24"/>
        </w:rPr>
        <w:t xml:space="preserve"> = .05 for the interaction). Critically, the positive relationship between larger hippocampal volume and higher cognition was present specifically in the </w:t>
      </w:r>
      <w:r>
        <w:rPr>
          <w:rFonts w:ascii="Times New Roman" w:hAnsi="Times New Roman"/>
          <w:b/>
          <w:i w:val="0"/>
          <w:sz w:val="24"/>
        </w:rPr>
        <w:t>lowest</w:t>
      </w:r>
      <w:r>
        <w:rPr>
          <w:rFonts w:ascii="Times New Roman" w:hAnsi="Times New Roman"/>
          <w:b w:val="0"/>
          <w:i w:val="0"/>
          <w:sz w:val="24"/>
        </w:rPr>
        <w:t>-SES group (high school degree), not in higher-educated groups. This counterintuitive pattern may reflect that for infants of higher-educated parents, other environmental resources buffer cognition sufficiently that hippocampal size is no longer the limiting factor; in the most disadvantaged group, hippocampal integrity becomes a more proximal determinant of outcome. Because this is a preterm-only sample assessed within the NICU period, the findings complement but are not directly comparable to studies of term-born children; NICU-related stressors and parental involvement during hospitalization may constitute additional pathways through which maternal education influences neonatal hippocampal-cognitive coupling in this population.</w:t>
      </w:r>
    </w:p>
    <w:p>
      <w:pPr>
        <w:jc w:val="left"/>
        <w:spacing w:before="0" w:after="120" w:line="480" w:lineRule="auto"/>
      </w:pPr>
      <w:r>
        <w:rPr>
          <w:rFonts w:ascii="Times New Roman" w:hAnsi="Times New Roman"/>
          <w:b/>
          <w:i w:val="0"/>
          <w:sz w:val="24"/>
        </w:rPr>
        <w:t>Stiver et al. (2015)</w:t>
      </w:r>
      <w:r>
        <w:rPr>
          <w:rFonts w:ascii="Times New Roman" w:hAnsi="Times New Roman"/>
          <w:b w:val="0"/>
          <w:i w:val="0"/>
          <w:sz w:val="24"/>
        </w:rPr>
        <w:t xml:space="preserve"> followed 26 very preterm infants (born &lt;32 weeks gestational age) longitudinally from NICU admission at the Hospital for Sick Children, Toronto, Canada, acquiring structural MRI at term-equivalent age and again at corrected age 2 years. Parental education (categorical: postsecondary vs. no postsecondary) predicted cerebellar growth trajectory, with infants of higher-educated parents showing significantly greater cerebellar volume increase between assessments (</w:t>
      </w:r>
      <w:r>
        <w:rPr>
          <w:rFonts w:ascii="Times New Roman" w:hAnsi="Times New Roman"/>
          <w:b w:val="0"/>
          <w:i/>
          <w:sz w:val="24"/>
        </w:rPr>
        <w:t>p</w:t>
      </w:r>
      <w:r>
        <w:rPr>
          <w:rFonts w:ascii="Times New Roman" w:hAnsi="Times New Roman"/>
          <w:b w:val="0"/>
          <w:i w:val="0"/>
          <w:sz w:val="24"/>
        </w:rPr>
        <w:t xml:space="preserve"> = .006). The longitudinal design strengthens causal inference relative to cross-sectional studies, and the finding that parental education predicts accelerated cerebellar recovery in this high-risk preterm cohort suggests that the home environment can partially buffer the neurological consequences of premature birth. Readers should note that, because this is a preterm-only sample, the cerebellar effects may partly reflect education-associated variation in NICU care quality and parental involvement rather than the same mechanisms operating in typically developing term-born children.</w:t>
      </w:r>
    </w:p>
    <w:p>
      <w:pPr>
        <w:jc w:val="left"/>
        <w:spacing w:before="0" w:after="120" w:line="480" w:lineRule="auto"/>
      </w:pPr>
      <w:r>
        <w:rPr>
          <w:rFonts w:ascii="Times New Roman" w:hAnsi="Times New Roman"/>
          <w:b/>
          <w:i w:val="0"/>
          <w:sz w:val="24"/>
        </w:rPr>
        <w:t>Zhu et al. (2023)</w:t>
      </w:r>
      <w:r>
        <w:rPr>
          <w:rFonts w:ascii="Times New Roman" w:hAnsi="Times New Roman"/>
          <w:b w:val="0"/>
          <w:i w:val="0"/>
          <w:sz w:val="24"/>
        </w:rPr>
        <w:t xml:space="preserve"> analyzed data from a multinational longitudinal cohort (United States, United Kingdom, Norway; </w:t>
      </w:r>
      <w:r>
        <w:rPr>
          <w:rFonts w:ascii="Times New Roman" w:hAnsi="Times New Roman"/>
          <w:b w:val="0"/>
          <w:i/>
          <w:sz w:val="24"/>
        </w:rPr>
        <w:t>N</w:t>
      </w:r>
      <w:r>
        <w:rPr>
          <w:rFonts w:ascii="Times New Roman" w:hAnsi="Times New Roman"/>
          <w:b w:val="0"/>
          <w:i w:val="0"/>
          <w:sz w:val="24"/>
        </w:rPr>
        <w:t xml:space="preserve"> = 373), examining trajectories of cortical and subcortical brain development from birth through 8 years. Parental education (continuous years of schooling) was associated with brain morphology trajectories using an energy distance metric sensitive to distributional differences across the full age range (</w:t>
      </w:r>
      <w:r>
        <w:rPr>
          <w:rFonts w:ascii="Times New Roman" w:hAnsi="Times New Roman"/>
          <w:b w:val="0"/>
          <w:i/>
          <w:sz w:val="24"/>
        </w:rPr>
        <w:t>p</w:t>
      </w:r>
      <w:r>
        <w:rPr>
          <w:rFonts w:ascii="Times New Roman" w:hAnsi="Times New Roman"/>
          <w:b w:val="0"/>
          <w:i w:val="0"/>
          <w:sz w:val="24"/>
        </w:rPr>
        <w:t xml:space="preserve"> = .033). This is the largest sample in the review and the only study to use a multisite, multi-country longitudinal design, substantially increasing generalizability. The energy distance approach avoids assumptions about linear associations and captures non-linear developmental trajectories—a methodological strength when studying rapidly changing developmental phenomena.</w:t>
      </w:r>
    </w:p>
    <w:p>
      <w:pPr>
        <w:jc w:val="left"/>
        <w:spacing w:before="0" w:after="120" w:line="480" w:lineRule="auto"/>
      </w:pPr>
      <w:r>
        <w:rPr>
          <w:rFonts w:ascii="Times New Roman" w:hAnsi="Times New Roman"/>
          <w:b w:val="0"/>
          <w:i w:val="0"/>
          <w:sz w:val="24"/>
        </w:rPr>
        <w:t xml:space="preserve">One study warrants separate consideration. </w:t>
      </w:r>
      <w:r>
        <w:rPr>
          <w:rFonts w:ascii="Times New Roman" w:hAnsi="Times New Roman"/>
          <w:b/>
          <w:i w:val="0"/>
          <w:sz w:val="24"/>
        </w:rPr>
        <w:t>Lange et al. (2010)</w:t>
      </w:r>
      <w:r>
        <w:rPr>
          <w:rFonts w:ascii="Times New Roman" w:hAnsi="Times New Roman"/>
          <w:b w:val="0"/>
          <w:i w:val="0"/>
          <w:sz w:val="24"/>
        </w:rPr>
        <w:t xml:space="preserve"> examined 309 children aged 4–18 years in the United Kingdom and reported that parental education was the strongest independent predictor of verbal IQ, with children of university-educated parents scoring 14–15 points higher than those of high-school-educated parents (</w:t>
      </w:r>
      <w:r>
        <w:rPr>
          <w:rFonts w:ascii="Times New Roman" w:hAnsi="Times New Roman"/>
          <w:b w:val="0"/>
          <w:i/>
          <w:sz w:val="24"/>
        </w:rPr>
        <w:t>p</w:t>
      </w:r>
      <w:r>
        <w:rPr>
          <w:rFonts w:ascii="Times New Roman" w:hAnsi="Times New Roman"/>
          <w:b w:val="0"/>
          <w:i w:val="0"/>
          <w:sz w:val="24"/>
        </w:rPr>
        <w:t xml:space="preserve"> &lt; .00001). Structural brain volume was included in the model as a covariate rather than as the primary outcome. Total brain volume did not mediate the parental education–IQ association, suggesting that the educational advantage operates through functional or experiential pathways beyond gross structural differences. Given its indirect neural evidence (brain volume as covariate rather than outcome), findings from Lange et al. (2010) are interpreted here as consistent with but not directly constituting a parental education–brain structure effect.</w:t>
      </w:r>
    </w:p>
    <w:p>
      <w:pPr>
        <w:pStyle w:val="Heading3"/>
        <w:spacing w:before="160" w:after="40" w:line="360" w:lineRule="auto"/>
      </w:pPr>
      <w:r>
        <w:rPr>
          <w:rFonts w:ascii="Times New Roman" w:hAnsi="Times New Roman"/>
          <w:b/>
          <w:sz w:val="24"/>
        </w:rPr>
        <w:t>3.5.2 Functional MRI</w:t>
      </w:r>
    </w:p>
    <w:p>
      <w:pPr>
        <w:jc w:val="left"/>
        <w:spacing w:before="0" w:after="120" w:line="480" w:lineRule="auto"/>
      </w:pPr>
      <w:r>
        <w:rPr>
          <w:rFonts w:ascii="Times New Roman" w:hAnsi="Times New Roman"/>
          <w:b w:val="0"/>
          <w:i w:val="0"/>
          <w:sz w:val="24"/>
        </w:rPr>
        <w:t>Two studies used fMRI to examine task-evoked activation or resting-state functional connectivity.</w:t>
      </w:r>
    </w:p>
    <w:p>
      <w:pPr>
        <w:jc w:val="left"/>
        <w:spacing w:before="0" w:after="120" w:line="480" w:lineRule="auto"/>
      </w:pPr>
      <w:r>
        <w:rPr>
          <w:rFonts w:ascii="Times New Roman" w:hAnsi="Times New Roman"/>
          <w:b/>
          <w:i w:val="0"/>
          <w:sz w:val="24"/>
        </w:rPr>
        <w:t>Ramphal et al. (2020)</w:t>
      </w:r>
      <w:r>
        <w:rPr>
          <w:rFonts w:ascii="Times New Roman" w:hAnsi="Times New Roman"/>
          <w:b w:val="0"/>
          <w:i w:val="0"/>
          <w:sz w:val="24"/>
        </w:rPr>
        <w:t xml:space="preserve"> assessed neonatal functional brain connectivity in 112 newborns in the United States and followed them longitudinally to 2 years of age. Parental education (composite-separable) was associated with neonatal amygdala–prefrontal connectivity at birth (regression coefficient 95% CI [−0.81, −0.06]), with higher parental education predicting stronger negative coupling between the amygdala and medial prefrontal cortex. Stronger amygdala–prefrontal anticorrelation in neonates is associated with better emotion regulation capacity in early childhood (Gee et al., 2013). The fact that this association was detectable in newborns, before postnatal environmental experience accrues, again implicates prenatal mechanisms. The study's longitudinal design—linking neonatal neural organization to toddler-age behavioral outcomes—provides some of the most compelling evidence in the review for a developmental pathway from parental education through early brain organization to later cognitive-emotional development.</w:t>
      </w:r>
    </w:p>
    <w:p>
      <w:pPr>
        <w:jc w:val="left"/>
        <w:spacing w:before="0" w:after="120" w:line="480" w:lineRule="auto"/>
      </w:pPr>
      <w:r>
        <w:rPr>
          <w:rFonts w:ascii="Times New Roman" w:hAnsi="Times New Roman"/>
          <w:b/>
          <w:i w:val="0"/>
          <w:sz w:val="24"/>
        </w:rPr>
        <w:t>Demir-Lira et al. (2021)</w:t>
      </w:r>
      <w:r>
        <w:rPr>
          <w:rFonts w:ascii="Times New Roman" w:hAnsi="Times New Roman"/>
          <w:b w:val="0"/>
          <w:i w:val="0"/>
          <w:sz w:val="24"/>
        </w:rPr>
        <w:t xml:space="preserve"> examined fMRI activation during a deductive reasoning task in 42 children aged 6–13 years in the United States. Parental education (years of schooling) independently predicted activation in left inferior frontal gyrus (IFG) during the reasoning task after small-volume correction (</w:t>
      </w:r>
      <w:r>
        <w:rPr>
          <w:rFonts w:ascii="Times New Roman" w:hAnsi="Times New Roman"/>
          <w:b w:val="0"/>
          <w:i/>
          <w:sz w:val="24"/>
        </w:rPr>
        <w:t>p</w:t>
      </w:r>
      <w:r>
        <w:rPr>
          <w:rFonts w:ascii="Times New Roman" w:hAnsi="Times New Roman"/>
          <w:b w:val="0"/>
          <w:i w:val="0"/>
          <w:sz w:val="24"/>
        </w:rPr>
        <w:t xml:space="preserve"> &lt; .05, SVC). Left IFG—encompassing Broca's area and adjacent lateral prefrontal cortex—supports both language processing and logical inference; its activation during deductive reasoning in school-age children reflects the integration of language and relational reasoning capacities that develop through cognitively stimulating home environments. The finding that parental education, independently of other SES indicators, predicts left IFG recruitment during reasoning is consistent with a pathway from educationally enriched home environments to more mature prefrontal engagement during complex cognitive operations. The relatively small sample (</w:t>
      </w:r>
      <w:r>
        <w:rPr>
          <w:rFonts w:ascii="Times New Roman" w:hAnsi="Times New Roman"/>
          <w:b w:val="0"/>
          <w:i/>
          <w:sz w:val="24"/>
        </w:rPr>
        <w:t>N</w:t>
      </w:r>
      <w:r>
        <w:rPr>
          <w:rFonts w:ascii="Times New Roman" w:hAnsi="Times New Roman"/>
          <w:b w:val="0"/>
          <w:i w:val="0"/>
          <w:sz w:val="24"/>
        </w:rPr>
        <w:t xml:space="preserve"> = 42) and the older age range (some children exceeding the 0–8 year target window) limit the generalizability of this finding to the core developmental period under review. Given that only two fMRI studies met inclusion criteria, and that these two studies examined structurally distinct neural phenomena (resting-state neonatal connectivity vs. task-evoked prefrontal activation in school-age children), findings from this modality should be treated as preliminary signals rather than established evidence.</w:t>
      </w:r>
    </w:p>
    <w:p>
      <w:pPr>
        <w:pStyle w:val="Heading3"/>
        <w:spacing w:before="160" w:after="40" w:line="360" w:lineRule="auto"/>
      </w:pPr>
      <w:r>
        <w:rPr>
          <w:rFonts w:ascii="Times New Roman" w:hAnsi="Times New Roman"/>
          <w:b/>
          <w:sz w:val="24"/>
        </w:rPr>
        <w:t>3.5.3 Diffusion tensor imaging</w:t>
      </w:r>
    </w:p>
    <w:p>
      <w:pPr>
        <w:jc w:val="left"/>
        <w:spacing w:before="0" w:after="120" w:line="480" w:lineRule="auto"/>
      </w:pPr>
      <w:r>
        <w:rPr>
          <w:rFonts w:ascii="Times New Roman" w:hAnsi="Times New Roman"/>
          <w:b w:val="0"/>
          <w:i w:val="0"/>
          <w:sz w:val="24"/>
        </w:rPr>
        <w:t>Three studies used DTI to examine white matter microstructure, assessed via fractional anisotropy (FA), a marker of axonal organization and myelination.</w:t>
      </w:r>
    </w:p>
    <w:p>
      <w:pPr>
        <w:jc w:val="left"/>
        <w:spacing w:before="0" w:after="120" w:line="480" w:lineRule="auto"/>
      </w:pPr>
      <w:r>
        <w:rPr>
          <w:rFonts w:ascii="Times New Roman" w:hAnsi="Times New Roman"/>
          <w:b/>
          <w:i w:val="0"/>
          <w:sz w:val="24"/>
        </w:rPr>
        <w:t>Turesky et al. (2022)</w:t>
      </w:r>
      <w:r>
        <w:rPr>
          <w:rFonts w:ascii="Times New Roman" w:hAnsi="Times New Roman"/>
          <w:b w:val="0"/>
          <w:i w:val="0"/>
          <w:sz w:val="24"/>
        </w:rPr>
        <w:t xml:space="preserve"> examined white matter microstructure in 38 infants at approximately 8.6 months of age in the United States. Maternal education (years of schooling) was positively correlated with FA in the arcuate fasciculus—the white matter tract connecting Broca's and Wernicke's language areas (Catani &amp; Mesulam, 2008; Friederici, 2016)—(</w:t>
      </w:r>
      <w:r>
        <w:rPr>
          <w:rFonts w:ascii="Times New Roman" w:hAnsi="Times New Roman"/>
          <w:b w:val="0"/>
          <w:i/>
          <w:sz w:val="24"/>
        </w:rPr>
        <w:t>r</w:t>
      </w:r>
      <w:r>
        <w:rPr>
          <w:rFonts w:ascii="Times New Roman" w:hAnsi="Times New Roman"/>
          <w:b w:val="0"/>
          <w:i w:val="0"/>
          <w:sz w:val="24"/>
        </w:rPr>
        <w:t xml:space="preserve"> = 0.48, </w:t>
      </w:r>
      <w:r>
        <w:rPr>
          <w:rFonts w:ascii="Times New Roman" w:hAnsi="Times New Roman"/>
          <w:b w:val="0"/>
          <w:i/>
          <w:sz w:val="24"/>
        </w:rPr>
        <w:t>p</w:t>
      </w:r>
      <w:r>
        <w:rPr>
          <w:rFonts w:ascii="Times New Roman" w:hAnsi="Times New Roman"/>
          <w:b w:val="0"/>
          <w:i w:val="0"/>
          <w:sz w:val="24"/>
        </w:rPr>
        <w:t xml:space="preserve"> &lt; .05). The arcuate fasciculus is a key substrate of phonological processing and early language acquisition; higher FA in this tract at 8–9 months, predicting later reading readiness, has been reported in independent samples (Yeatman et al., 2012). The fact that maternal education is associated with arcuate FA as early as 8 months suggests that the home language environment—which differs systematically with maternal education—is associated with white matter organization within the first year of life.</w:t>
      </w:r>
    </w:p>
    <w:p>
      <w:pPr>
        <w:jc w:val="left"/>
        <w:spacing w:before="0" w:after="120" w:line="480" w:lineRule="auto"/>
      </w:pPr>
      <w:r>
        <w:rPr>
          <w:rFonts w:ascii="Times New Roman" w:hAnsi="Times New Roman"/>
          <w:b/>
          <w:i w:val="0"/>
          <w:sz w:val="24"/>
        </w:rPr>
        <w:t>Ozernov-Palchik et al. (2019)</w:t>
      </w:r>
      <w:r>
        <w:rPr>
          <w:rFonts w:ascii="Times New Roman" w:hAnsi="Times New Roman"/>
          <w:b w:val="0"/>
          <w:i w:val="0"/>
          <w:sz w:val="24"/>
        </w:rPr>
        <w:t xml:space="preserve"> examined white matter microstructure in 125 children aged 5–8 years in the United States using a comprehensive DTI battery covering multiple long-range association tracts. Higher parental education was associated with greater FA in the left arcuate fasciculus and the superior longitudinal fasciculus (</w:t>
      </w:r>
      <w:r>
        <w:rPr>
          <w:rFonts w:ascii="Times New Roman" w:hAnsi="Times New Roman"/>
          <w:b w:val="0"/>
          <w:i/>
          <w:sz w:val="24"/>
        </w:rPr>
        <w:t>r</w:t>
      </w:r>
      <w:r>
        <w:rPr>
          <w:rFonts w:ascii="Times New Roman" w:hAnsi="Times New Roman"/>
          <w:b w:val="0"/>
          <w:i w:val="0"/>
          <w:sz w:val="24"/>
        </w:rPr>
        <w:t xml:space="preserve"> = 0.33, </w:t>
      </w:r>
      <w:r>
        <w:rPr>
          <w:rFonts w:ascii="Times New Roman" w:hAnsi="Times New Roman"/>
          <w:b w:val="0"/>
          <w:i/>
          <w:sz w:val="24"/>
        </w:rPr>
        <w:t>p</w:t>
      </w:r>
      <w:r>
        <w:rPr>
          <w:rFonts w:ascii="Times New Roman" w:hAnsi="Times New Roman"/>
          <w:b w:val="0"/>
          <w:i w:val="0"/>
          <w:sz w:val="24"/>
        </w:rPr>
        <w:t xml:space="preserve"> &lt; .001), tracts implicated in language processing and executive attention respectively. The study explicitly modeled parental education as a predictor of white matter </w:t>
      </w:r>
      <w:r>
        <w:rPr>
          <w:rFonts w:ascii="Times New Roman" w:hAnsi="Times New Roman"/>
          <w:b w:val="0"/>
          <w:i/>
          <w:sz w:val="24"/>
        </w:rPr>
        <w:t>independently</w:t>
      </w:r>
      <w:r>
        <w:rPr>
          <w:rFonts w:ascii="Times New Roman" w:hAnsi="Times New Roman"/>
          <w:b w:val="0"/>
          <w:i w:val="0"/>
          <w:sz w:val="24"/>
        </w:rPr>
        <w:t xml:space="preserve"> of household income, finding that education accounted for unique variance above and beyond financial resources. This dissociation between income and education effects on white matter is consistent with the view that parental education captures something qualitatively distinct from economic resources—most plausibly the quality and quantity of language input, book exposure, and learning-oriented interactions in the home.</w:t>
      </w:r>
    </w:p>
    <w:p>
      <w:pPr>
        <w:jc w:val="left"/>
        <w:spacing w:before="0" w:after="120" w:line="480" w:lineRule="auto"/>
      </w:pPr>
      <w:r>
        <w:rPr>
          <w:rFonts w:ascii="Times New Roman" w:hAnsi="Times New Roman"/>
          <w:b/>
          <w:i w:val="0"/>
          <w:sz w:val="24"/>
        </w:rPr>
        <w:t>Ursache &amp; Noble (2016)</w:t>
      </w:r>
      <w:r>
        <w:rPr>
          <w:rFonts w:ascii="Times New Roman" w:hAnsi="Times New Roman"/>
          <w:b w:val="0"/>
          <w:i w:val="0"/>
          <w:sz w:val="24"/>
        </w:rPr>
        <w:t xml:space="preserve"> examined DTI in 107 children spanning a wide age range (3–21 years) in the United States, with the primary analyses focusing on the 6–9 year subsample. Parental education (years of schooling) was associated with FA in frontal white matter tracts (</w:t>
      </w:r>
      <w:r>
        <w:rPr>
          <w:rFonts w:ascii="Times New Roman" w:hAnsi="Times New Roman"/>
          <w:b w:val="0"/>
          <w:i/>
          <w:sz w:val="24"/>
        </w:rPr>
        <w:t>p</w:t>
      </w:r>
      <w:r>
        <w:rPr>
          <w:rFonts w:ascii="Times New Roman" w:hAnsi="Times New Roman"/>
          <w:b w:val="0"/>
          <w:i w:val="0"/>
          <w:sz w:val="24"/>
        </w:rPr>
        <w:t xml:space="preserve"> = .001). A mediation analysis revealed that white matter integrity partially mediated the association between parental education and executive function performance, providing one of the few direct tests in this review of a parental education → brain structure → cognition pathway. The mediation was partial rather than complete, indicating that education affects executive function through both neural (white matter) and non-neural (e.g., direct skill scaffolding) mechanisms.</w:t>
      </w:r>
    </w:p>
    <w:p>
      <w:pPr>
        <w:jc w:val="left"/>
        <w:spacing w:before="0" w:after="120" w:line="480" w:lineRule="auto"/>
      </w:pPr>
      <w:r>
        <w:rPr>
          <w:rFonts w:ascii="Times New Roman" w:hAnsi="Times New Roman"/>
          <w:b w:val="0"/>
          <w:i w:val="0"/>
          <w:sz w:val="24"/>
        </w:rPr>
        <w:t>Across the three DTI studies, the arcuate fasciculus was implicated in two of three studies (Turesky et al., 2022; Ozernov-Palchik et al., 2019), suggesting that parental education associations with white matter are particularly concentrated in language-relevant circuitry. This is consistent with the hypothesis that the primary vehicle of educational advantage is linguistic—specifically, the quantity and quality of language directed at the child from birth.</w:t>
      </w:r>
    </w:p>
    <w:p>
      <w:pPr>
        <w:pStyle w:val="Heading2"/>
        <w:spacing w:before="200" w:after="40" w:line="360" w:lineRule="auto"/>
      </w:pPr>
      <w:r>
        <w:rPr>
          <w:rFonts w:ascii="Times New Roman" w:hAnsi="Times New Roman"/>
          <w:b/>
          <w:sz w:val="26"/>
        </w:rPr>
        <w:t>3.6 Candidate mechanisms: cognitive stimulation and chronic stress pathways</w:t>
      </w:r>
    </w:p>
    <w:p>
      <w:pPr>
        <w:jc w:val="left"/>
        <w:spacing w:before="0" w:after="120" w:line="480" w:lineRule="auto"/>
      </w:pPr>
      <w:r>
        <w:rPr>
          <w:rFonts w:ascii="Times New Roman" w:hAnsi="Times New Roman"/>
          <w:b w:val="0"/>
          <w:i w:val="0"/>
          <w:sz w:val="24"/>
        </w:rPr>
        <w:t>A consistent positive association between parental education and early neural development was observed across six modalities and a 0–15 year age range. The present section synthesizes evidence bearing on two non-mutually exclusive mechanistic pathways—cognitive stimulation and chronic stress reduction—that have been proposed to explain how parental education is transduced into neurobiological outcomes (Hackman et al., 2010).</w:t>
      </w:r>
    </w:p>
    <w:p>
      <w:pPr>
        <w:pStyle w:val="Heading3"/>
        <w:spacing w:before="160" w:after="40" w:line="360" w:lineRule="auto"/>
      </w:pPr>
      <w:r>
        <w:rPr>
          <w:rFonts w:ascii="Times New Roman" w:hAnsi="Times New Roman"/>
          <w:b/>
          <w:sz w:val="24"/>
        </w:rPr>
        <w:t>3.6.1 The cognitive stimulation pathway</w:t>
      </w:r>
    </w:p>
    <w:p>
      <w:pPr>
        <w:jc w:val="left"/>
        <w:spacing w:before="0" w:after="120" w:line="480" w:lineRule="auto"/>
      </w:pPr>
      <w:r>
        <w:rPr>
          <w:rFonts w:ascii="Times New Roman" w:hAnsi="Times New Roman"/>
          <w:b w:val="0"/>
          <w:i w:val="0"/>
          <w:sz w:val="24"/>
        </w:rPr>
        <w:t>The cognitive stimulation hypothesis proposes that more educated parents provide richer language input, engage in more frequent and cognitively demanding parent–child interactions, and maintain more literacy-oriented home environments—exposures proposed to support synaptic strengthening and myelination in developing neural circuits (Hart &amp; Risley, 1995; Tomalski &amp; Johnson, 2010). The original Hart and Risley (1995) estimates of SES-related word-gap differences have been questioned on methodological and generalizability grounds (Sperry et al., 2019), and the present review does not rely on those specific figures; the broader principle that language input quality varies with parental education is supported independently by the DTI and EEG findings reviewed here. Two lines of evidence bear directly on this pathway.</w:t>
      </w:r>
    </w:p>
    <w:p>
      <w:pPr>
        <w:jc w:val="left"/>
        <w:spacing w:before="0" w:after="120" w:line="480" w:lineRule="auto"/>
      </w:pPr>
      <w:r>
        <w:rPr>
          <w:rFonts w:ascii="Times New Roman" w:hAnsi="Times New Roman"/>
          <w:b w:val="0"/>
          <w:i w:val="0"/>
          <w:sz w:val="24"/>
        </w:rPr>
        <w:t>First, the DTI studies of Ozernov-Palchik et al. (2019) and Turesky et al. (2022) consistently implicate the arcuate fasciculus—the white matter tract connecting perisylvian language areas—as the primary neural substrate of parental education effects. The arcuate fasciculus is known to be highly sensitive to language experience, with FA in this tract predicting reading skill and vocabulary in independent samples (Yeatman et al., 2012). The finding that maternal education predicts arcuate FA as early as 8–9 months (Turesky et al., 2022), and independently of income at 5–8 years (Ozernov-Palchik et al., 2019), is consistent with systematic differences in the quantity and quality of language directed at the child. This dimension of the home environment varies more strongly with educational attainment than with income per se (Hoff, 2003; Rowe, 2008).</w:t>
      </w:r>
    </w:p>
    <w:p>
      <w:pPr>
        <w:jc w:val="left"/>
        <w:spacing w:before="0" w:after="120" w:line="480" w:lineRule="auto"/>
      </w:pPr>
      <w:r>
        <w:rPr>
          <w:rFonts w:ascii="Times New Roman" w:hAnsi="Times New Roman"/>
          <w:b w:val="0"/>
          <w:i w:val="0"/>
          <w:sz w:val="24"/>
        </w:rPr>
        <w:t>Second, Maguire &amp; Schneider (2019) demonstrated that maternal education predicted vocabulary size above and beyond income and raw EEG metrics in school-age children, consistent with a pathway from educational attainment through language-input quality to lexical development that is not reducible to household financial resources. This dissociation is diagnostic: if parental education effects were entirely mediated by income (e.g., better nutrition, less exposure to environmental toxins), one would not expect education to account for unique variance in language-related neural and cognitive outcomes after controlling for income. The persistence of education effects under income control, documented across multiple studies in this review, points to qualitatively distinct environmental inputs—specifically, the information and interaction quality of the home learning environment.</w:t>
      </w:r>
    </w:p>
    <w:p>
      <w:pPr>
        <w:pStyle w:val="Heading3"/>
        <w:spacing w:before="160" w:after="40" w:line="360" w:lineRule="auto"/>
      </w:pPr>
      <w:r>
        <w:rPr>
          <w:rFonts w:ascii="Times New Roman" w:hAnsi="Times New Roman"/>
          <w:b/>
          <w:sz w:val="24"/>
        </w:rPr>
        <w:t>3.6.2 The chronic stress pathway</w:t>
      </w:r>
    </w:p>
    <w:p>
      <w:pPr>
        <w:jc w:val="left"/>
        <w:spacing w:before="0" w:after="120" w:line="480" w:lineRule="auto"/>
      </w:pPr>
      <w:r>
        <w:rPr>
          <w:rFonts w:ascii="Times New Roman" w:hAnsi="Times New Roman"/>
          <w:b w:val="0"/>
          <w:i w:val="0"/>
          <w:sz w:val="24"/>
        </w:rPr>
        <w:t>The chronic stress hypothesis proposes that lower parental education is associated with greater exposure to stressors—financial instability, residential crowding, neighborhood disorder, and family conflict—that dysregulate the hypothalamic–pituitary–adrenal (HPA) axis and alter neural development in stress-sensitive regions, particularly the amygdala, hippocampus, and prefrontal cortex (McEwen &amp; Gianaros, 2010; Blair &amp; Raver, 2016).</w:t>
      </w:r>
    </w:p>
    <w:p>
      <w:pPr>
        <w:jc w:val="left"/>
        <w:spacing w:before="0" w:after="120" w:line="480" w:lineRule="auto"/>
      </w:pPr>
      <w:r>
        <w:rPr>
          <w:rFonts w:ascii="Times New Roman" w:hAnsi="Times New Roman"/>
          <w:b w:val="0"/>
          <w:i w:val="0"/>
          <w:sz w:val="24"/>
        </w:rPr>
        <w:t>Evidence for this pathway comes most directly from Shephard et al. (2019), who found that lower maternal education was independently associated with weaker infant alpha-band functional connectivity (</w:t>
      </w:r>
      <w:r>
        <w:rPr>
          <w:rFonts w:ascii="Times New Roman" w:hAnsi="Times New Roman"/>
          <w:b w:val="0"/>
          <w:i/>
          <w:sz w:val="24"/>
        </w:rPr>
        <w:t>d</w:t>
      </w:r>
      <w:r>
        <w:rPr>
          <w:rFonts w:ascii="Times New Roman" w:hAnsi="Times New Roman"/>
          <w:b w:val="0"/>
          <w:i w:val="0"/>
          <w:sz w:val="24"/>
        </w:rPr>
        <w:t xml:space="preserve"> = 0.61) in a sample of infants born to adolescent mothers living in poverty, after controlling for maternal psychopathology. The fact that maternal psychopathology was explicitly modelled alongside education suggests that caregiver stress and educational level are jointly influential: both need to be accounted for to isolate the education signal. This is consistent with a stress-buffering account in which higher maternal education generally promotes more organized cortical network development, while co-occurring caregiver psychological distress—disproportionately prevalent in low-education contexts—may attenuate this advantage. The alpha-frequency network, which undergoes rapid maturation in the first year of life, is sensitive to glucocorticoid signaling and early adversity effects (Lupien et al., 2009), providing a plausible biological substrate for this interaction.</w:t>
      </w:r>
    </w:p>
    <w:p>
      <w:pPr>
        <w:jc w:val="left"/>
        <w:spacing w:before="0" w:after="120" w:line="480" w:lineRule="auto"/>
      </w:pPr>
      <w:r>
        <w:rPr>
          <w:rFonts w:ascii="Times New Roman" w:hAnsi="Times New Roman"/>
          <w:b w:val="0"/>
          <w:i w:val="0"/>
          <w:sz w:val="24"/>
        </w:rPr>
        <w:t>Further indirect support derives from Ramphal et al. (2020), who observed that higher parental education was associated with stronger neonatal amygdala–prefrontal anticorrelation—a connectivity pattern that has been linked to better emotion regulation and reduced stress reactivity in early childhood (Gee et al., 2013). Because this association was detectable at birth, it implies prenatal programming: the prenatal stress environment experienced by the fetus, which co-varies with maternal education via maternal cortisol levels, placental function, and immune-inflammatory markers, may begin organizing amygdala–prefrontal circuitry before the child's first postnatal interaction with the caregiver.</w:t>
      </w:r>
    </w:p>
    <w:p>
      <w:pPr>
        <w:pStyle w:val="Heading3"/>
        <w:spacing w:before="160" w:after="40" w:line="360" w:lineRule="auto"/>
      </w:pPr>
      <w:r>
        <w:rPr>
          <w:rFonts w:ascii="Times New Roman" w:hAnsi="Times New Roman"/>
          <w:b/>
          <w:sz w:val="24"/>
        </w:rPr>
        <w:t>3.6.3 Integration and limitations of mechanistic inference</w:t>
      </w:r>
    </w:p>
    <w:p>
      <w:pPr>
        <w:jc w:val="left"/>
        <w:spacing w:before="0" w:after="120" w:line="480" w:lineRule="auto"/>
      </w:pPr>
      <w:r>
        <w:rPr>
          <w:rFonts w:ascii="Times New Roman" w:hAnsi="Times New Roman"/>
          <w:b w:val="0"/>
          <w:i w:val="0"/>
          <w:sz w:val="24"/>
        </w:rPr>
        <w:t>The two pathways are not mutually exclusive and likely operate simultaneously across the developmental period covered by this review. For children assessed prior to the accumulation of substantial postnatal experience—including full-term neonates scanned within days of birth (Ramphal et al., 2020) and very preterm infants assessed during the NICU period (McKinnon et al., 2023; Konrad et al., 2024)—prenatal mechanisms operating via maternal stress physiology and nutritional status likely contribute substantially to the observed parental education associations. For children assessed in infancy and beyond (Turesky et al., 2022; Shephard et al., 2019; Maguire &amp; Schneider, 2019; Ozernov-Palchik et al., 2019), both prenatal programming and ongoing postnatal environmental inputs plausibly contribute.</w:t>
      </w:r>
    </w:p>
    <w:p>
      <w:pPr>
        <w:jc w:val="left"/>
        <w:spacing w:before="0" w:after="120" w:line="480" w:lineRule="auto"/>
      </w:pPr>
      <w:r>
        <w:rPr>
          <w:rFonts w:ascii="Times New Roman" w:hAnsi="Times New Roman"/>
          <w:b w:val="0"/>
          <w:i w:val="0"/>
          <w:sz w:val="24"/>
        </w:rPr>
        <w:t>Several important limitations constrain mechanistic inference from the current evidence base. No study in this review directly measured the hypothesized mediating variables—language input quantity, parental sensitivity, household stressors, or cortisol reactivity—alongside neural outcomes, making it impossible to establish mediation formally. The Shephard et al. (2019) moderation analysis provides suggestive evidence for a stress-pathway component, and the Ozernov-Palchik et al. (2019) income-controlled analysis supports a cognitive stimulation pathway, but neither constitutes a test of the full mechanistic chain. Future studies employing ecological momentary assessment of parenting quality, home language environment recording, and HPA biomarkers alongside neural measurement would substantially advance mechanistic understanding.</w:t>
      </w:r>
    </w:p>
    <w:p>
      <w:r>
        <w:br w:type="page"/>
      </w:r>
    </w:p>
    <w:p>
      <w:pPr>
        <w:pStyle w:val="Heading1"/>
        <w:spacing w:before="240" w:after="60" w:line="360" w:lineRule="auto"/>
      </w:pPr>
      <w:r>
        <w:rPr>
          <w:rFonts w:ascii="Times New Roman" w:hAnsi="Times New Roman"/>
          <w:b/>
          <w:sz w:val="28"/>
        </w:rPr>
        <w:t>4. Discussion</w:t>
      </w:r>
    </w:p>
    <w:p>
      <w:pPr>
        <w:pStyle w:val="Heading2"/>
        <w:spacing w:before="200" w:after="40" w:line="360" w:lineRule="auto"/>
      </w:pPr>
      <w:r>
        <w:rPr>
          <w:rFonts w:ascii="Times New Roman" w:hAnsi="Times New Roman"/>
          <w:b/>
          <w:sz w:val="26"/>
        </w:rPr>
        <w:t>4.1 Summary of findings</w:t>
      </w:r>
    </w:p>
    <w:p>
      <w:pPr>
        <w:jc w:val="left"/>
        <w:spacing w:before="0" w:after="120" w:line="480" w:lineRule="auto"/>
      </w:pPr>
      <w:r>
        <w:rPr>
          <w:rFonts w:ascii="Times New Roman" w:hAnsi="Times New Roman"/>
          <w:b w:val="0"/>
          <w:i w:val="0"/>
          <w:sz w:val="24"/>
        </w:rPr>
        <w:t>This systematic review identified 16 studies reporting independent associations between parental education level and direct neural outcomes in children aged 0–15 years, with the majority (12 of 16) focusing on the 0–8 year target window. Fifteen of 16 studies (94%) reported a positive association between higher parental education and more mature or stronger neural indices. This pattern held across all six included neural modalities—resting-state EEG, ERP, fNIRS, fMRI, DTI, and structural MRI—and across the full developmental span examined, from the neonatal period through middle childhood. The single negative finding (Wienke et al., 2024) was specific to an infant ERP paradigm in a migrant-majority sample and may reflect migration-related contextual factors specific to that sample rather than a true reversal of the education effect.</w:t>
      </w:r>
    </w:p>
    <w:p>
      <w:pPr>
        <w:jc w:val="left"/>
        <w:spacing w:before="0" w:after="120" w:line="480" w:lineRule="auto"/>
      </w:pPr>
      <w:r>
        <w:rPr>
          <w:rFonts w:ascii="Times New Roman" w:hAnsi="Times New Roman"/>
          <w:b w:val="0"/>
          <w:i w:val="0"/>
          <w:sz w:val="24"/>
        </w:rPr>
        <w:t>The strength of the directional consistency—94% positive across modalities—is notable given the methodological diversity of the included studies: different neural modalities with incommensurable outcome metrics, different operationalizations of parental education (years of schooling, categorical degree attainment, composite-separable), different covariate sets, and samples drawn from 9 countries or regions. The convergence of evidence under these conditions increases confidence that the observed pattern reflects a genuine environmental signal rather than a methodological artifact.</w:t>
      </w:r>
    </w:p>
    <w:p>
      <w:pPr>
        <w:jc w:val="left"/>
        <w:spacing w:before="0" w:after="120" w:line="480" w:lineRule="auto"/>
      </w:pPr>
      <w:r>
        <w:rPr>
          <w:rFonts w:ascii="Times New Roman" w:hAnsi="Times New Roman"/>
          <w:b w:val="0"/>
          <w:i w:val="0"/>
          <w:sz w:val="24"/>
        </w:rPr>
        <w:t>Among the modalities examined, DTI findings showed the strongest cross-study convergence. The arcuate fasciculus specifically warrants closer examination: two independent research groups identified this single white matter tract as the primary structural correlate of parental education (Turesky et al., 2022; Ozernov-Palchik et al., 2019), with effects spanning from approximately 8.6 months of age (</w:t>
      </w:r>
      <w:r>
        <w:rPr>
          <w:rFonts w:ascii="Times New Roman" w:hAnsi="Times New Roman"/>
          <w:b w:val="0"/>
          <w:i/>
          <w:sz w:val="24"/>
        </w:rPr>
        <w:t>r</w:t>
      </w:r>
      <w:r>
        <w:rPr>
          <w:rFonts w:ascii="Times New Roman" w:hAnsi="Times New Roman"/>
          <w:b w:val="0"/>
          <w:i w:val="0"/>
          <w:sz w:val="24"/>
        </w:rPr>
        <w:t xml:space="preserve"> = 0.48; Turesky et al., 2022) through ages 5–8 years (</w:t>
      </w:r>
      <w:r>
        <w:rPr>
          <w:rFonts w:ascii="Times New Roman" w:hAnsi="Times New Roman"/>
          <w:b w:val="0"/>
          <w:i/>
          <w:sz w:val="24"/>
        </w:rPr>
        <w:t>r</w:t>
      </w:r>
      <w:r>
        <w:rPr>
          <w:rFonts w:ascii="Times New Roman" w:hAnsi="Times New Roman"/>
          <w:b w:val="0"/>
          <w:i w:val="0"/>
          <w:sz w:val="24"/>
        </w:rPr>
        <w:t xml:space="preserve"> = 0.33; Ozernov-Palchik et al., 2019). Critically, in the larger school-age sample, the education–arcuate FA association persisted after explicitly controlling for household income, indicating that parental education captures something qualitatively distinct from financial resources—most plausibly the quantity and quality of language directed at the child. The arcuate fasciculus is also the white matter tract most consistently implicated in reading acquisition and reading disability (Catani &amp; Mesulam, 2008; Yeatman et al., 2012), suggesting that the parental education effects documented here may represent early neurodevelopmental precursors to the individual differences in phonological processing and reading ability observed at school entry—differences measurable both through white matter microstructure and through electrophysiological indices of language processing.</w:t>
      </w:r>
    </w:p>
    <w:p>
      <w:pPr>
        <w:jc w:val="left"/>
        <w:spacing w:before="0" w:after="120" w:line="480" w:lineRule="auto"/>
      </w:pPr>
      <w:r>
        <w:rPr>
          <w:rFonts w:ascii="Times New Roman" w:hAnsi="Times New Roman"/>
          <w:b w:val="0"/>
          <w:i w:val="0"/>
          <w:sz w:val="24"/>
        </w:rPr>
        <w:t xml:space="preserve">The directional consistency of 15 of 16 studies masks meaningful variation in the </w:t>
      </w:r>
      <w:r>
        <w:rPr>
          <w:rFonts w:ascii="Times New Roman" w:hAnsi="Times New Roman"/>
          <w:b w:val="0"/>
          <w:i/>
          <w:sz w:val="24"/>
        </w:rPr>
        <w:t>cross-study convergence</w:t>
      </w:r>
      <w:r>
        <w:rPr>
          <w:rFonts w:ascii="Times New Roman" w:hAnsi="Times New Roman"/>
          <w:b w:val="0"/>
          <w:i w:val="0"/>
          <w:sz w:val="24"/>
        </w:rPr>
        <w:t xml:space="preserve"> and </w:t>
      </w:r>
      <w:r>
        <w:rPr>
          <w:rFonts w:ascii="Times New Roman" w:hAnsi="Times New Roman"/>
          <w:b w:val="0"/>
          <w:i/>
          <w:sz w:val="24"/>
        </w:rPr>
        <w:t>effect robustness</w:t>
      </w:r>
      <w:r>
        <w:rPr>
          <w:rFonts w:ascii="Times New Roman" w:hAnsi="Times New Roman"/>
          <w:b w:val="0"/>
          <w:i w:val="0"/>
          <w:sz w:val="24"/>
        </w:rPr>
        <w:t xml:space="preserve"> of different neural indices. Structural MRI effects were positive across all five included studies but distributed across multiple morphometric indices—cortical surface area, grey matter volume, cerebellar growth—without convergence on a specific circuit. ERP findings were the most context-dependent: the direction of association was moderated by the cultural and linguistic composition of the sample (see Section 4.3.3), limiting the generalisability of any single ERP finding across populations. DTI findings, as described above, showed the strongest convergence, with the arcuate fasciculus identified independently across two studies, the association surviving income control in the larger sample, and the effect detectable from infancy through early school age. This convergence pattern—across independent research groups, across a developmental span of approximately five years, and robust to income control—identifies arcuate fasciculus FA as the most empirically supported neural correlate of parental education in early childhood. Whether this index carries individual-level predictive validity (i.e., adequate sensitivity and specificity for identifying children at neurodevelopmental risk) remains untested. This gap is not a limitation of the present review, but of the field: none of the 16 studies employed pre-specified diagnostic accuracy designs. Addressing this requires dedicated ROC studies, and constitutes a priority for future translational research.</w:t>
      </w:r>
    </w:p>
    <w:p>
      <w:pPr>
        <w:jc w:val="left"/>
        <w:spacing w:before="0" w:after="120" w:line="480" w:lineRule="auto"/>
      </w:pPr>
      <w:r>
        <w:rPr>
          <w:rFonts w:ascii="Times New Roman" w:hAnsi="Times New Roman"/>
          <w:b w:val="0"/>
          <w:i w:val="0"/>
          <w:sz w:val="24"/>
        </w:rPr>
        <w:t>A third finding, visible only through systematic review, concerns a pervasive asymmetry in how parental education has been operationalized across the neuroimaging literature. Of the 16 included studies, 7 measured maternal education only, 9 reported a combined parental education index (mean or highest attainment), and none—not a single study—separately reported associations for both maternal and paternal education. This complete absence is not a statistical artifact of our inclusion criteria; it reflects a pervasive, unexamined assumption in the field that maternal education is the sole or primary operative variable for early neurodevelopment. Whether paternal education carries independent, distinct, or interactive effects—potentially through mechanisms such as play-based language interaction, literacy modelling, or household economic buffering—remains entirely unknown. The present review cannot adjudicate this question: the systematic absence of paternal education data in all 16 studies renders it unanswerable from the current evidence base. This represents a structural gap in the neuroimaging literature with direct implications for the design of family-based interventions and for theories of environmental influence on early brain development.</w:t>
      </w:r>
    </w:p>
    <w:p>
      <w:pPr>
        <w:jc w:val="left"/>
        <w:spacing w:before="0" w:after="120" w:line="480" w:lineRule="auto"/>
      </w:pPr>
      <w:r>
        <w:rPr>
          <w:rFonts w:ascii="Times New Roman" w:hAnsi="Times New Roman"/>
          <w:b w:val="0"/>
          <w:i w:val="0"/>
          <w:sz w:val="24"/>
        </w:rPr>
        <w:t>Compared with prior narrative reviews that described SES–brain links using composite SES indices (Hackman &amp; Farah, 2009; Tomalski &amp; Johnson, 2010), the present review is the first to systematically require an independently estimable effect of parental education specifically, and to synthesize evidence across six neural modalities simultaneously. This cross-modal synthesis reveals a level of convergence—particularly around fronto-temporal language networks—that could not be discerned from modality-specific literatures in isolation.</w:t>
      </w:r>
    </w:p>
    <w:p>
      <w:pPr>
        <w:pStyle w:val="Heading2"/>
        <w:spacing w:before="200" w:after="40" w:line="360" w:lineRule="auto"/>
      </w:pPr>
      <w:r>
        <w:rPr>
          <w:rFonts w:ascii="Times New Roman" w:hAnsi="Times New Roman"/>
          <w:b/>
          <w:sz w:val="26"/>
        </w:rPr>
        <w:t>4.2 Developmental timing across five neurodevelopmental phases</w:t>
      </w:r>
    </w:p>
    <w:p>
      <w:pPr>
        <w:jc w:val="left"/>
        <w:spacing w:before="0" w:after="120" w:line="480" w:lineRule="auto"/>
      </w:pPr>
      <w:r>
        <w:rPr>
          <w:rFonts w:ascii="Times New Roman" w:hAnsi="Times New Roman"/>
          <w:b w:val="0"/>
          <w:i w:val="0"/>
          <w:sz w:val="24"/>
        </w:rPr>
        <w:t>The age distribution of included studies maps onto five neurodevelopmentally meaningful phases, each characterised by distinct brain maturational processes (see Figure 4). This framing clarifies when parental education associations first emerge, how they evolve across development, and where evidence gaps remain.</w:t>
      </w:r>
    </w:p>
    <w:p>
      <w:pPr>
        <w:jc w:val="left"/>
        <w:spacing w:before="0" w:after="120" w:line="480" w:lineRule="auto"/>
      </w:pPr>
      <w:r>
        <w:rPr>
          <w:rFonts w:ascii="Times New Roman" w:hAnsi="Times New Roman"/>
          <w:b/>
          <w:i w:val="0"/>
          <w:sz w:val="24"/>
        </w:rPr>
        <w:t>Phase 1: Perinatal and neonatal period (0–1 month).</w:t>
      </w:r>
      <w:r>
        <w:rPr>
          <w:rFonts w:ascii="Times New Roman" w:hAnsi="Times New Roman"/>
          <w:b w:val="0"/>
          <w:i w:val="0"/>
          <w:sz w:val="24"/>
        </w:rPr>
        <w:t xml:space="preserve"> Three studies examined neural outcomes within days to weeks of birth (McKinnon et al., 2023; Konrad et al., 2024; Ramphal et al., 2020). This phase is defined by rapid cortical surface area expansion, establishment of long-range white matter connections, and the organisation of resting-state functional networks—all processes that can be influenced by the prenatal environment before postnatal experience has accrued. The convergence of three independent neonatal findings across structural MRI and functional MRI modalities constitutes the review's strongest evidence for a prenatal, in utero pathway from maternal education to fetal neural development.</w:t>
      </w:r>
    </w:p>
    <w:p>
      <w:pPr>
        <w:jc w:val="left"/>
        <w:spacing w:before="0" w:after="120" w:line="480" w:lineRule="auto"/>
      </w:pPr>
      <w:r>
        <w:rPr>
          <w:rFonts w:ascii="Times New Roman" w:hAnsi="Times New Roman"/>
          <w:b/>
          <w:i w:val="0"/>
          <w:sz w:val="24"/>
        </w:rPr>
        <w:t>Phase 2: Infancy (1–24 months).</w:t>
      </w:r>
      <w:r>
        <w:rPr>
          <w:rFonts w:ascii="Times New Roman" w:hAnsi="Times New Roman"/>
          <w:b w:val="0"/>
          <w:i w:val="0"/>
          <w:sz w:val="24"/>
        </w:rPr>
        <w:t xml:space="preserve"> Six studies focused on infants within the first two years of life (Brito &amp; Noble, 2020; Wienke et al., 2024; Shephard et al., 2019; Turesky et al., 2022; Conejero et al., 2018; Stiver et al., 2015). This phase is characterised by the onset of myelination in long-range association tracts, the emergence of alpha rhythms as markers of thalamocortical organisation, and rapid growth of the arcuate fasciculus—the white matter pathway linking perisylvian language regions. The finding that maternal education predicts arcuate fasciculus FA as early as 8–9 months (Turesky et al., 2022), alongside education-related differences in resting-state EEG power (Brito &amp; Noble, 2020; Shephard et al., 2019), indicates that parental education effects on both white matter structure and electrophysiological organisation are already detectable within the first year of life.</w:t>
      </w:r>
    </w:p>
    <w:p>
      <w:pPr>
        <w:jc w:val="left"/>
        <w:spacing w:before="0" w:after="120" w:line="480" w:lineRule="auto"/>
      </w:pPr>
      <w:r>
        <w:rPr>
          <w:rFonts w:ascii="Times New Roman" w:hAnsi="Times New Roman"/>
          <w:b/>
          <w:i w:val="0"/>
          <w:sz w:val="24"/>
        </w:rPr>
        <w:t>Phase 3: Preschool period (2–6 years).</w:t>
      </w:r>
      <w:r>
        <w:rPr>
          <w:rFonts w:ascii="Times New Roman" w:hAnsi="Times New Roman"/>
          <w:b w:val="0"/>
          <w:i w:val="0"/>
          <w:sz w:val="24"/>
        </w:rPr>
        <w:t xml:space="preserve"> This developmental phase—characterised by peak synaptic pruning, the emergence of executive function, and the formation of fronto-parietal control networks—is conspicuously underrepresented in the current evidence base. No included study focused exclusively on 2–5 year olds, with only partial coverage from longitudinal designs spanning this range (Zhu et al., 2023; Ramphal et al., 2020 follow-up). This gap likely reflects methodological challenges: structural and functional neuroimaging in awake preschool-age children is technically demanding, and electrophysiological paradigms suitable for this age group require careful adaptation. The preschool period represents a high-priority target for future research, given that this is precisely when parental language input and cognitive stimulation are most intensively shaping prefrontal and language networks.</w:t>
      </w:r>
    </w:p>
    <w:p>
      <w:pPr>
        <w:jc w:val="left"/>
        <w:spacing w:before="0" w:after="120" w:line="480" w:lineRule="auto"/>
      </w:pPr>
      <w:r>
        <w:rPr>
          <w:rFonts w:ascii="Times New Roman" w:hAnsi="Times New Roman"/>
          <w:b/>
          <w:i w:val="0"/>
          <w:sz w:val="24"/>
        </w:rPr>
        <w:t>Phase 4: Early school age (6–8 years).</w:t>
      </w:r>
      <w:r>
        <w:rPr>
          <w:rFonts w:ascii="Times New Roman" w:hAnsi="Times New Roman"/>
          <w:b w:val="0"/>
          <w:i w:val="0"/>
          <w:sz w:val="24"/>
        </w:rPr>
        <w:t xml:space="preserve"> Four studies examined children within the early school-age window (Wijeakumar et al., 2019; Ozernov-Palchik et al., 2019; Ursache &amp; Noble, 2016 primary subsample; Zhu et al., 2023 endpoint). This phase is marked by continued myelination of the arcuate fasciculus, consolidation of reading-related neural circuits, and maturation of frontoparietal executive control networks. The finding that parental education independently predicts arcuate fasciculus FA at 5–8 years (Ozernov-Palchik et al., 2019), even after controlling for household income, suggests that education-related advantages in white matter organisation—first detectable in infancy—have widened by school entry and are associated with the development of reading readiness.</w:t>
      </w:r>
    </w:p>
    <w:p>
      <w:pPr>
        <w:jc w:val="left"/>
        <w:spacing w:before="0" w:after="120" w:line="480" w:lineRule="auto"/>
      </w:pPr>
      <w:r>
        <w:rPr>
          <w:rFonts w:ascii="Times New Roman" w:hAnsi="Times New Roman"/>
          <w:b/>
          <w:i w:val="0"/>
          <w:sz w:val="24"/>
        </w:rPr>
        <w:t>Phase 5: Middle childhood and beyond (8+ years; beyond the primary target window).</w:t>
      </w:r>
      <w:r>
        <w:rPr>
          <w:rFonts w:ascii="Times New Roman" w:hAnsi="Times New Roman"/>
          <w:b w:val="0"/>
          <w:i w:val="0"/>
          <w:sz w:val="24"/>
        </w:rPr>
        <w:t xml:space="preserve"> Four studies included participants extending beyond 8 years (Ursache &amp; Noble, 2016: to 9 years; Demir-Lira et al., 2021: to 13 years; Maguire &amp; Schneider, 2019: to 15 years; Lange et al., 2010: to 18 years). These findings demonstrate that parental education associations with neural outcomes persist well into middle childhood and adolescence, consistent with cumulative environmental exposure models. However, given that these studies extend beyond the review's primary age window, their findings are interpreted as complementary rather than central evidence, and are included to contextualise the early childhood findings within a broader developmental trajectory.</w:t>
      </w:r>
    </w:p>
    <w:p>
      <w:pPr>
        <w:jc w:val="left"/>
        <w:spacing w:before="0" w:after="120" w:line="480" w:lineRule="auto"/>
      </w:pPr>
      <w:r>
        <w:rPr>
          <w:rFonts w:ascii="Times New Roman" w:hAnsi="Times New Roman"/>
          <w:b w:val="0"/>
          <w:i w:val="0"/>
          <w:sz w:val="24"/>
        </w:rPr>
        <w:t>Taken together, this phase-based synthesis reveals an asymmetric evidence base: the perinatal and infancy phases are relatively well covered (nine studies), the early school-age phase has moderate coverage (four studies), middle childhood is represented by four studies that extend beyond the primary window, and the preschool phase remains an evidence gap. Future reviews with an expanded age scope, or primary studies targeting the 2–6 year window, are needed to complete the developmental picture.</w:t>
      </w:r>
    </w:p>
    <w:p>
      <w:pPr>
        <w:pStyle w:val="Heading2"/>
        <w:spacing w:before="200" w:after="40" w:line="360" w:lineRule="auto"/>
      </w:pPr>
      <w:r>
        <w:rPr>
          <w:rFonts w:ascii="Times New Roman" w:hAnsi="Times New Roman"/>
          <w:b/>
          <w:sz w:val="26"/>
        </w:rPr>
        <w:t>4.3 Conditions under which associations are detectable: candidate moderators</w:t>
      </w:r>
    </w:p>
    <w:p>
      <w:pPr>
        <w:jc w:val="left"/>
        <w:spacing w:before="0" w:after="120" w:line="480" w:lineRule="auto"/>
      </w:pPr>
      <w:r>
        <w:rPr>
          <w:rFonts w:ascii="Times New Roman" w:hAnsi="Times New Roman"/>
          <w:b w:val="0"/>
          <w:i w:val="0"/>
          <w:sz w:val="24"/>
        </w:rPr>
        <w:t xml:space="preserve">The directional consistency of findings across 16 studies is striking, but the evidence base also reveals systematic variation in </w:t>
      </w:r>
      <w:r>
        <w:rPr>
          <w:rFonts w:ascii="Times New Roman" w:hAnsi="Times New Roman"/>
          <w:b w:val="0"/>
          <w:i/>
          <w:sz w:val="24"/>
        </w:rPr>
        <w:t>where</w:t>
      </w:r>
      <w:r>
        <w:rPr>
          <w:rFonts w:ascii="Times New Roman" w:hAnsi="Times New Roman"/>
          <w:b w:val="0"/>
          <w:i w:val="0"/>
          <w:sz w:val="24"/>
        </w:rPr>
        <w:t xml:space="preserve"> and </w:t>
      </w:r>
      <w:r>
        <w:rPr>
          <w:rFonts w:ascii="Times New Roman" w:hAnsi="Times New Roman"/>
          <w:b w:val="0"/>
          <w:i/>
          <w:sz w:val="24"/>
        </w:rPr>
        <w:t>under what conditions</w:t>
      </w:r>
      <w:r>
        <w:rPr>
          <w:rFonts w:ascii="Times New Roman" w:hAnsi="Times New Roman"/>
          <w:b w:val="0"/>
          <w:i w:val="0"/>
          <w:sz w:val="24"/>
        </w:rPr>
        <w:t xml:space="preserve"> parental education associations with neural development are most reliably observed. Four candidate moderating variables emerge from the current review.</w:t>
      </w:r>
    </w:p>
    <w:p>
      <w:pPr>
        <w:pStyle w:val="Heading3"/>
        <w:spacing w:before="160" w:after="40" w:line="360" w:lineRule="auto"/>
      </w:pPr>
      <w:r>
        <w:rPr>
          <w:rFonts w:ascii="Times New Roman" w:hAnsi="Times New Roman"/>
          <w:b/>
          <w:sz w:val="24"/>
        </w:rPr>
        <w:t>4.3.1 Neural system specificity</w:t>
      </w:r>
    </w:p>
    <w:p>
      <w:pPr>
        <w:jc w:val="left"/>
        <w:spacing w:before="0" w:after="120" w:line="480" w:lineRule="auto"/>
      </w:pPr>
      <w:r>
        <w:rPr>
          <w:rFonts w:ascii="Times New Roman" w:hAnsi="Times New Roman"/>
          <w:b w:val="0"/>
          <w:i w:val="0"/>
          <w:sz w:val="24"/>
        </w:rPr>
        <w:t xml:space="preserve">Parental education effects are not distributed uniformly across the brain. Across modalities, associations cluster in two functional systems: the </w:t>
      </w:r>
      <w:r>
        <w:rPr>
          <w:rFonts w:ascii="Times New Roman" w:hAnsi="Times New Roman"/>
          <w:b/>
          <w:i w:val="0"/>
          <w:sz w:val="24"/>
        </w:rPr>
        <w:t>language network</w:t>
      </w:r>
      <w:r>
        <w:rPr>
          <w:rFonts w:ascii="Times New Roman" w:hAnsi="Times New Roman"/>
          <w:b w:val="0"/>
          <w:i w:val="0"/>
          <w:sz w:val="24"/>
        </w:rPr>
        <w:t xml:space="preserve"> (arcuate fasciculus, inferior frontal gyrus, superior temporal regions) and the </w:t>
      </w:r>
      <w:r>
        <w:rPr>
          <w:rFonts w:ascii="Times New Roman" w:hAnsi="Times New Roman"/>
          <w:b/>
          <w:i w:val="0"/>
          <w:sz w:val="24"/>
        </w:rPr>
        <w:t>executive control and stress-regulation network</w:t>
      </w:r>
      <w:r>
        <w:rPr>
          <w:rFonts w:ascii="Times New Roman" w:hAnsi="Times New Roman"/>
          <w:b w:val="0"/>
          <w:i w:val="0"/>
          <w:sz w:val="24"/>
        </w:rPr>
        <w:t xml:space="preserve"> (anterior cingulate cortex, medial prefrontal cortex, amygdala–PFC circuitry). Seven of 16 studies implicated language-network regions as primary substrates (Turesky et al., 2022; Ozernov-Palchik et al., 2019; Demir-Lira et al., 2021; Brito &amp; Noble, 2020‡; Shephard et al., 2019; Maguire &amp; Schneider, 2019; Wienke et al., 2024), while five studies implicated prefrontal executive and stress-regulation circuitry (Conejero et al., 2018; Wijeakumar et al., 2019; Ursache &amp; Noble, 2016; Maguire &amp; Schneider, 2019; Ramphal et al., 2020). The remaining four studies (Stiver et al., 2015; McKinnon et al., 2023; Zhu et al., 2023; Lange et al., 2010) reported effects on global or distributed morphometry rather than specific networks. This pattern is not random: language and executive function are precisely the behavioral domains most reliably associated with parental education in the behavioral literature (Hoff, 2013; Blair &amp; Raver, 2016). The neural system specificity thus supports the theoretical coherence of the observed associations, and suggests that future studies focusing on fronto-temporal language circuitry and prefrontal regulatory networks are most likely to detect reliable parental education effects.</w:t>
      </w:r>
    </w:p>
    <w:p>
      <w:pPr>
        <w:jc w:val="left"/>
        <w:spacing w:before="0" w:after="120" w:line="480" w:lineRule="auto"/>
      </w:pPr>
      <w:r>
        <w:rPr>
          <w:rFonts w:ascii="Times New Roman" w:hAnsi="Times New Roman"/>
          <w:b w:val="0"/>
          <w:i w:val="0"/>
          <w:sz w:val="24"/>
        </w:rPr>
        <w:t>Among the seven language-network studies, five measured language-circuit anatomy or activation directly (Turesky et al., 2022; Ozernov-Palchik et al., 2019; Demir-Lira et al., 2021; Brito &amp; Noble, 2020‡; Wienke et al., 2024); two studies (Shephard et al., 2019; Maguire &amp; Schneider, 2019) measured EEG alpha indices that serve as indirect proxies for thalamocortical and prefrontal maturation rather than language-circuit anatomy per se. ‡Brito &amp; Noble (2020) reported a nominally significant association that did not survive FDR correction and should be interpreted cautiously (see Section 4.3.4). Wienke et al. (2024), also using an auditory ERP paradigm targeting speech discrimination, produced the review's only negative finding; as discussed in Section 4.3.3, this result is consistent with migration-related contextual factors specific to that sample rather than the absence of a language-network association per se.</w:t>
      </w:r>
    </w:p>
    <w:p>
      <w:pPr>
        <w:jc w:val="left"/>
        <w:spacing w:before="0" w:after="120" w:line="480" w:lineRule="auto"/>
      </w:pPr>
      <w:r>
        <w:rPr>
          <w:rFonts w:ascii="Times New Roman" w:hAnsi="Times New Roman"/>
          <w:b/>
          <w:i w:val="0"/>
          <w:sz w:val="24"/>
        </w:rPr>
        <w:t>Table 2. Distribution of neural system specificity across 16 included studies</w:t>
      </w:r>
    </w:p>
    <w:tbl>
      <w:tblPr>
        <w:tblStyle w:val="TableGrid"/>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120"/>
        <w:gridCol w:w="3120"/>
        <w:gridCol w:w="3120"/>
      </w:tblGrid>
      <w:tr>
        <w:tc>
          <w:tcPr>
            <w:tcW w:type="dxa" w:w="312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Neural system</w:t>
            </w:r>
          </w:p>
        </w:tc>
        <w:tc>
          <w:tcPr>
            <w:tcW w:type="dxa" w:w="312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sz w:val="20"/>
              </w:rPr>
              <w:t>k</w:t>
            </w:r>
          </w:p>
        </w:tc>
        <w:tc>
          <w:tcPr>
            <w:tcW w:type="dxa" w:w="312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Representative studies</w:t>
            </w:r>
          </w:p>
        </w:tc>
      </w:tr>
      <w:tr>
        <w:tc>
          <w:tcPr>
            <w:tcW w:type="dxa" w:w="312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Language network (arcuate fasciculus, IFG, STG)</w:t>
            </w:r>
          </w:p>
        </w:tc>
        <w:tc>
          <w:tcPr>
            <w:tcW w:type="dxa" w:w="312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c>
          <w:tcPr>
            <w:tcW w:type="dxa" w:w="312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Turesky et al. (2022); Ozernov-Palchik et al. (2019); Demir-Lira et al. (2021); Brito &amp; Noble (2020)‡</w:t>
            </w:r>
          </w:p>
        </w:tc>
      </w:tr>
      <w:tr>
        <w:tc>
          <w:tcPr>
            <w:tcW w:type="dxa" w:w="312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Executive control / stress-regulation (ACC, mPFC, amygdala–PFC)</w:t>
            </w:r>
          </w:p>
        </w:tc>
        <w:tc>
          <w:tcPr>
            <w:tcW w:type="dxa" w:w="312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5</w:t>
            </w:r>
          </w:p>
        </w:tc>
        <w:tc>
          <w:tcPr>
            <w:tcW w:type="dxa" w:w="312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Conejero et al. (2018); Ramphal et al. (2020); Ursache &amp; Noble (2016)</w:t>
            </w:r>
          </w:p>
        </w:tc>
      </w:tr>
      <w:tr>
        <w:tc>
          <w:tcPr>
            <w:tcW w:type="dxa" w:w="312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Global / distributed morphometry</w:t>
            </w:r>
          </w:p>
        </w:tc>
        <w:tc>
          <w:tcPr>
            <w:tcW w:type="dxa" w:w="312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4</w:t>
            </w:r>
          </w:p>
        </w:tc>
        <w:tc>
          <w:tcPr>
            <w:tcW w:type="dxa" w:w="312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McKinnon et al. (2023); Zhu et al. (2023); Stiver et al. (2015); Lange et al. (2010)†</w:t>
            </w:r>
          </w:p>
        </w:tc>
      </w:tr>
    </w:tbl>
    <w:p/>
    <w:p>
      <w:pPr>
        <w:jc w:val="left"/>
        <w:spacing w:before="120" w:after="120" w:line="360" w:lineRule="auto"/>
      </w:pPr>
      <w:r>
        <w:rPr>
          <w:rFonts w:ascii="Times New Roman" w:hAnsi="Times New Roman"/>
          <w:b/>
          <w:i/>
          <w:sz w:val="20"/>
        </w:rPr>
        <w:t>Note.</w:t>
      </w:r>
      <w:r>
        <w:rPr>
          <w:rFonts w:ascii="Times New Roman" w:hAnsi="Times New Roman"/>
          <w:b w:val="0"/>
          <w:i w:val="0"/>
          <w:sz w:val="20"/>
        </w:rPr>
        <w:t xml:space="preserve"> Maguire &amp; Schneider (2019) contributed to both the language network and executive control counts (alpha power as language-maturation proxy; vocabulary and working memory as executive outcomes); total </w:t>
      </w:r>
      <w:r>
        <w:rPr>
          <w:rFonts w:ascii="Times New Roman" w:hAnsi="Times New Roman"/>
          <w:b w:val="0"/>
          <w:i/>
          <w:sz w:val="20"/>
        </w:rPr>
        <w:t>k</w:t>
      </w:r>
      <w:r>
        <w:rPr>
          <w:rFonts w:ascii="Times New Roman" w:hAnsi="Times New Roman"/>
          <w:b w:val="0"/>
          <w:i w:val="0"/>
          <w:sz w:val="20"/>
        </w:rPr>
        <w:t xml:space="preserve"> across categories therefore exceeds 16. ‡Brito &amp; Noble (2020) is included in the language-network category because posterior alpha/beta power in infancy serves as a general index of thalamocortical maturation supporting early language processing (Marshall &amp; Meltzoff, 2014), though this categorisation is indirect; the association also did not survive FDR correction (see §4.3.4). †Lange et al. (2010) is categorised under global morphometry for tabulation purposes; its primary finding was an association between parental education and verbal IQ, with brain volume included as a covariate rather than a primary neural outcome (see §3.5.1).</w:t>
      </w:r>
    </w:p>
    <w:p>
      <w:pPr>
        <w:pStyle w:val="Heading3"/>
        <w:spacing w:before="160" w:after="40" w:line="360" w:lineRule="auto"/>
      </w:pPr>
      <w:r>
        <w:rPr>
          <w:rFonts w:ascii="Times New Roman" w:hAnsi="Times New Roman"/>
          <w:b/>
          <w:sz w:val="24"/>
        </w:rPr>
        <w:t>4.3.2 Developmental age</w:t>
      </w:r>
    </w:p>
    <w:p>
      <w:pPr>
        <w:jc w:val="left"/>
        <w:spacing w:before="0" w:after="120" w:line="480" w:lineRule="auto"/>
      </w:pPr>
      <w:r>
        <w:rPr>
          <w:rFonts w:ascii="Times New Roman" w:hAnsi="Times New Roman"/>
          <w:b w:val="0"/>
          <w:i w:val="0"/>
          <w:sz w:val="24"/>
        </w:rPr>
        <w:t>Organising the included studies by developmental stage—infancy (0–2 years), toddler/preschool (3–5 years), childhood (6–12 years), and early adolescence (12–18 years)—reveals a striking imbalance in research coverage and points to a critical gap in the current evidence base. Studies are classified by their primary measurement age; studies whose samples span multiple windows are counted once in the window containing their primary age range, with cross-window coverage noted where relevant. Zhu et al. (2023), whose MRI assessments spanned birth through 8 years, is counted in the Childhood window only.</w:t>
      </w:r>
    </w:p>
    <w:p>
      <w:pPr>
        <w:jc w:val="left"/>
        <w:spacing w:before="0" w:after="120" w:line="480" w:lineRule="auto"/>
      </w:pPr>
      <w:r>
        <w:rPr>
          <w:rFonts w:ascii="Times New Roman" w:hAnsi="Times New Roman"/>
          <w:b/>
          <w:i w:val="0"/>
          <w:sz w:val="24"/>
        </w:rPr>
        <w:t>Infancy (0–2 years; *k* = 9).</w:t>
      </w:r>
      <w:r>
        <w:rPr>
          <w:rFonts w:ascii="Times New Roman" w:hAnsi="Times New Roman"/>
          <w:b w:val="0"/>
          <w:i w:val="0"/>
          <w:sz w:val="24"/>
        </w:rPr>
        <w:t xml:space="preserve"> The evidence base is most concentrated in this period. Three neonatal studies established associations detectable before substantial postnatal experience had accrued: one scanning full-term infants within four days of birth (Ramphal et al., 2020) and two examining very preterm infants during the NICU period at term-equivalent age (McKinnon et al., 2023; Konrad et al., 2024), all consistent with prenatal origins. A further six studies examined infants and toddlers up to approximately 2 years of age (Wienke et al., 2024; Brito &amp; Noble, 2020; Turesky et al., 2022; Shephard et al., 2019; Conejero et al., 2018; Stiver et al., 2015), spanning EEG, ERP, DTI, and structural MRI modalities. Eight of the nine studies in this window reported positive associations; the single exception (Wienke et al., 2024) is attributable to migration-related contextual factors as discussed in Section 4.3.3. Note: Zhu et al. (2023), whose longitudinal MRI assessments spanned birth through 8 years, is counted only in the Childhood window below and is not included in the k = 9 above.</w:t>
      </w:r>
    </w:p>
    <w:p>
      <w:pPr>
        <w:jc w:val="left"/>
        <w:spacing w:before="0" w:after="120" w:line="480" w:lineRule="auto"/>
      </w:pPr>
      <w:r>
        <w:rPr>
          <w:rFonts w:ascii="Times New Roman" w:hAnsi="Times New Roman"/>
          <w:b/>
          <w:i w:val="0"/>
          <w:sz w:val="24"/>
        </w:rPr>
        <w:t>Toddler and preschool period (3–5 years; *k* = 0).</w:t>
      </w:r>
      <w:r>
        <w:rPr>
          <w:rFonts w:ascii="Times New Roman" w:hAnsi="Times New Roman"/>
          <w:b w:val="0"/>
          <w:i w:val="0"/>
          <w:sz w:val="24"/>
        </w:rPr>
        <w:t xml:space="preserve"> No study in this review examined parental education effects on neural development in children aged 3–5 years—a period of rapid vocabulary growth and emerging executive function (Diamond, 2013). This is the most critical missing window in the current evidence base, discussed further in Section 4.6.</w:t>
      </w:r>
    </w:p>
    <w:p>
      <w:pPr>
        <w:jc w:val="left"/>
        <w:spacing w:before="0" w:after="120" w:line="480" w:lineRule="auto"/>
      </w:pPr>
      <w:r>
        <w:rPr>
          <w:rFonts w:ascii="Times New Roman" w:hAnsi="Times New Roman"/>
          <w:b/>
          <w:i w:val="0"/>
          <w:sz w:val="24"/>
        </w:rPr>
        <w:t>Childhood (6–12 years; *k* = 7).</w:t>
      </w:r>
      <w:r>
        <w:rPr>
          <w:rFonts w:ascii="Times New Roman" w:hAnsi="Times New Roman"/>
          <w:b w:val="0"/>
          <w:i w:val="0"/>
          <w:sz w:val="24"/>
        </w:rPr>
        <w:t xml:space="preserve"> Seven studies included children in the school-age period, including the longitudinal trajectories reported by Zhu et al. (2023) across their birth-to-8-year assessment range. All seven reported positive associations (Wijeakumar et al., 2019; Ozernov-Palchik et al., 2019; Demir-Lira et al., 2021; Maguire &amp; Schneider, 2019; Ursache &amp; Noble, 2016; Zhu et al., 2023; Lange et al., 2010), making this the developmental window with the highest directional consistency in the review. Note that four of these seven studies (Demir-Lira et al., 2021, aged 6–13y; Maguire &amp; Schneider, 2019, aged 8–15y; Ursache &amp; Noble, 2016, aged 3–21y; Lange et al., 2010, aged 4–18y) included participants extending beyond the 0–8 year target window, but each reported primary effects or subgroup analyses within the school-age range. Several of these studies explicitly controlled for household income, confirming that parental education confers independent neural advantages beyond financial resources during this period.</w:t>
      </w:r>
    </w:p>
    <w:p>
      <w:pPr>
        <w:jc w:val="left"/>
        <w:spacing w:before="0" w:after="120" w:line="480" w:lineRule="auto"/>
      </w:pPr>
      <w:r>
        <w:rPr>
          <w:rFonts w:ascii="Times New Roman" w:hAnsi="Times New Roman"/>
          <w:b/>
          <w:i w:val="0"/>
          <w:sz w:val="24"/>
        </w:rPr>
        <w:t>Early adolescence (12–18 years).</w:t>
      </w:r>
      <w:r>
        <w:rPr>
          <w:rFonts w:ascii="Times New Roman" w:hAnsi="Times New Roman"/>
          <w:b w:val="0"/>
          <w:i w:val="0"/>
          <w:sz w:val="24"/>
        </w:rPr>
        <w:t xml:space="preserve"> Two studies whose samples extended into adolescence—Maguire &amp; Schneider (2019; aged 8–15 years) and Lange et al. (2010; aged 4–18 years)—are both classified in the childhood window above given their primary focus on school-age children. Both reported positive associations extending into the adolescent age range, but the adolescent-specific evidence base is too sparse to draw conclusions specific to this developmental window.</w:t>
      </w:r>
    </w:p>
    <w:p>
      <w:pPr>
        <w:jc w:val="left"/>
        <w:spacing w:before="0" w:after="120" w:line="480" w:lineRule="auto"/>
      </w:pPr>
      <w:r>
        <w:rPr>
          <w:rFonts w:ascii="Times New Roman" w:hAnsi="Times New Roman"/>
          <w:b w:val="0"/>
          <w:i w:val="0"/>
          <w:sz w:val="24"/>
        </w:rPr>
        <w:t>This age-stratified view clarifies that the directional consistency observed across all 16 studies does not imply uniform evidence density. The field has concentrated on the neonatal–infant period and the school-age period, leaving a conspicuous gap at the 3–5 year window. Future research targeting this preschool period—using EEG, fNIRS, or structural MRI designs adapted for young children—would substantially advance understanding of how parental education effects accumulate across the most language-sensitive developmental interval.</w:t>
      </w:r>
    </w:p>
    <w:p>
      <w:pPr>
        <w:pStyle w:val="Heading3"/>
        <w:spacing w:before="160" w:after="40" w:line="360" w:lineRule="auto"/>
      </w:pPr>
      <w:r>
        <w:rPr>
          <w:rFonts w:ascii="Times New Roman" w:hAnsi="Times New Roman"/>
          <w:b/>
          <w:sz w:val="24"/>
        </w:rPr>
        <w:t>4.3.3 Cultural and migration context: the Wienke exception</w:t>
      </w:r>
    </w:p>
    <w:p>
      <w:pPr>
        <w:jc w:val="left"/>
        <w:spacing w:before="0" w:after="120" w:line="480" w:lineRule="auto"/>
      </w:pPr>
      <w:r>
        <w:rPr>
          <w:rFonts w:ascii="Times New Roman" w:hAnsi="Times New Roman"/>
          <w:b w:val="0"/>
          <w:i w:val="0"/>
          <w:sz w:val="24"/>
        </w:rPr>
        <w:t>The single negative finding in this review—Wienke et al. (2024), reporting reduced ERP differentiation in infants of lower-educated parents in a German sample—warrants specific attention as a potential moderator. Wienke's sample was predominantly composed of migrant families, in whom parental education level may carry different meaning than in the majority-culture samples that constitute the remaining 15 studies. Two competing explanations deserve consideration.</w:t>
      </w:r>
    </w:p>
    <w:p>
      <w:pPr>
        <w:jc w:val="left"/>
        <w:spacing w:before="0" w:after="120" w:line="480" w:lineRule="auto"/>
      </w:pPr>
      <w:r>
        <w:rPr>
          <w:rFonts w:ascii="Times New Roman" w:hAnsi="Times New Roman"/>
          <w:b w:val="0"/>
          <w:i w:val="0"/>
          <w:sz w:val="24"/>
        </w:rPr>
        <w:t xml:space="preserve">The first is </w:t>
      </w:r>
      <w:r>
        <w:rPr>
          <w:rFonts w:ascii="Times New Roman" w:hAnsi="Times New Roman"/>
          <w:b/>
          <w:i w:val="0"/>
          <w:sz w:val="24"/>
        </w:rPr>
        <w:t>educational credential devaluation</w:t>
      </w:r>
      <w:r>
        <w:rPr>
          <w:rFonts w:ascii="Times New Roman" w:hAnsi="Times New Roman"/>
          <w:b w:val="0"/>
          <w:i w:val="0"/>
          <w:sz w:val="24"/>
        </w:rPr>
        <w:t xml:space="preserve">: in migrant contexts, formal educational qualifications obtained abroad are frequently not recognized by host-country institutions and labour markets, meaning that the educational resources a parent actually possesses—including language proficiency, cultural capital, and occupational resources—may not correspond to their years of schooling in the way they would in the country where education was obtained. If the mechanism linking parental education to neural development operates through the </w:t>
      </w:r>
      <w:r>
        <w:rPr>
          <w:rFonts w:ascii="Times New Roman" w:hAnsi="Times New Roman"/>
          <w:b w:val="0"/>
          <w:i/>
          <w:sz w:val="24"/>
        </w:rPr>
        <w:t>quality of the home learning environment</w:t>
      </w:r>
      <w:r>
        <w:rPr>
          <w:rFonts w:ascii="Times New Roman" w:hAnsi="Times New Roman"/>
          <w:b w:val="0"/>
          <w:i w:val="0"/>
          <w:sz w:val="24"/>
        </w:rPr>
        <w:t xml:space="preserve"> rather than through years of schooling per se, then devaluation of educational credentials in migrant families would attenuate or reverse the expected association.</w:t>
      </w:r>
    </w:p>
    <w:p>
      <w:pPr>
        <w:jc w:val="left"/>
        <w:spacing w:before="0" w:after="120" w:line="480" w:lineRule="auto"/>
      </w:pPr>
      <w:r>
        <w:rPr>
          <w:rFonts w:ascii="Times New Roman" w:hAnsi="Times New Roman"/>
          <w:b w:val="0"/>
          <w:i w:val="0"/>
          <w:sz w:val="24"/>
        </w:rPr>
        <w:t xml:space="preserve">The second is </w:t>
      </w:r>
      <w:r>
        <w:rPr>
          <w:rFonts w:ascii="Times New Roman" w:hAnsi="Times New Roman"/>
          <w:b/>
          <w:i w:val="0"/>
          <w:sz w:val="24"/>
        </w:rPr>
        <w:t>multilingual input heterogeneity</w:t>
      </w:r>
      <w:r>
        <w:rPr>
          <w:rFonts w:ascii="Times New Roman" w:hAnsi="Times New Roman"/>
          <w:b w:val="0"/>
          <w:i w:val="0"/>
          <w:sz w:val="24"/>
        </w:rPr>
        <w:t>: infants in multilingual households receive phonological input from multiple language systems, which may produce neural differentiation patterns in auditory processing paradigms that differ from those observed in monolingual majority-language infants. In the Wienke paradigm specifically—an auditory oddball paradigm using German speech stimuli—infants whose primary home language was not German may show reduced differentiation of German-specific phonemic contrasts irrespective of parental education level, confounding the education effect.</w:t>
      </w:r>
    </w:p>
    <w:p>
      <w:pPr>
        <w:jc w:val="left"/>
        <w:spacing w:before="0" w:after="120" w:line="480" w:lineRule="auto"/>
      </w:pPr>
      <w:r>
        <w:rPr>
          <w:rFonts w:ascii="Times New Roman" w:hAnsi="Times New Roman"/>
          <w:b w:val="0"/>
          <w:i w:val="0"/>
          <w:sz w:val="24"/>
        </w:rPr>
        <w:t>These two explanations cannot be disentangled with the available data, as Wienke et al. (2024) did not separately analyse the migrant sub-sample or report language-of-testing breakdowns by education group. However, both explanations converge on the same prediction: the association between parental education and neural development is consistent with being substantially moderated by whether the family belongs to the cultural and linguistic mainstream of the society in which the study is conducted. This hypothesis is directly testable in future studies using stratified analyses by migration status and home language environment, and has important implications for the generalizability of findings from predominantly majority-culture, English-speaking samples to the global population.</w:t>
      </w:r>
    </w:p>
    <w:p>
      <w:pPr>
        <w:pStyle w:val="Heading3"/>
        <w:spacing w:before="160" w:after="40" w:line="360" w:lineRule="auto"/>
      </w:pPr>
      <w:r>
        <w:rPr>
          <w:rFonts w:ascii="Times New Roman" w:hAnsi="Times New Roman"/>
          <w:b/>
          <w:sz w:val="24"/>
        </w:rPr>
        <w:t>4.3.4 Operationalization of parental education</w:t>
      </w:r>
    </w:p>
    <w:p>
      <w:pPr>
        <w:jc w:val="left"/>
        <w:spacing w:before="0" w:after="120" w:line="480" w:lineRule="auto"/>
      </w:pPr>
      <w:r>
        <w:rPr>
          <w:rFonts w:ascii="Times New Roman" w:hAnsi="Times New Roman"/>
          <w:b w:val="0"/>
          <w:i w:val="0"/>
          <w:sz w:val="24"/>
        </w:rPr>
        <w:t xml:space="preserve">A potential methodological moderator is how parental education was measured. Across 16 studies, two distinct classification dimensions are relevant. In terms of </w:t>
      </w:r>
      <w:r>
        <w:rPr>
          <w:rFonts w:ascii="Times New Roman" w:hAnsi="Times New Roman"/>
          <w:b/>
          <w:i w:val="0"/>
          <w:sz w:val="24"/>
        </w:rPr>
        <w:t>operationalization independence</w:t>
      </w:r>
      <w:r>
        <w:rPr>
          <w:rFonts w:ascii="Times New Roman" w:hAnsi="Times New Roman"/>
          <w:b w:val="0"/>
          <w:i w:val="0"/>
          <w:sz w:val="24"/>
        </w:rPr>
        <w:t xml:space="preserve">, education was the sole SES exposure in 9 studies (edu-only) and one component of a composite SES index with a separately estimable coefficient in 7 studies (composite-separable). In terms of </w:t>
      </w:r>
      <w:r>
        <w:rPr>
          <w:rFonts w:ascii="Times New Roman" w:hAnsi="Times New Roman"/>
          <w:b/>
          <w:i w:val="0"/>
          <w:sz w:val="24"/>
        </w:rPr>
        <w:t>measurement format</w:t>
      </w:r>
      <w:r>
        <w:rPr>
          <w:rFonts w:ascii="Times New Roman" w:hAnsi="Times New Roman"/>
          <w:b w:val="0"/>
          <w:i w:val="0"/>
          <w:sz w:val="24"/>
        </w:rPr>
        <w:t xml:space="preserve">, education was operationalized as continuous years of schooling in approximately 9 studies, and as categorical degree attainment (e.g., university vs. lower) in approximately 6 studies; one study (Ramphal et al., 2020) did not specify the format precisely. These two dimensions are orthogonal: studies with composite-separable operationalizations used both continuous and categorical formats. Both positive findings and the single negative finding were distributed across operationalization types, suggesting that the direction of the association does not depend on measurement format. However, the </w:t>
      </w:r>
      <w:r>
        <w:rPr>
          <w:rFonts w:ascii="Times New Roman" w:hAnsi="Times New Roman"/>
          <w:b w:val="0"/>
          <w:i/>
          <w:sz w:val="24"/>
        </w:rPr>
        <w:t>magnitude</w:t>
      </w:r>
      <w:r>
        <w:rPr>
          <w:rFonts w:ascii="Times New Roman" w:hAnsi="Times New Roman"/>
          <w:b w:val="0"/>
          <w:i w:val="0"/>
          <w:sz w:val="24"/>
        </w:rPr>
        <w:t xml:space="preserve"> of associations may vary: continuous operationalizations can detect gradients across the full distribution, whereas binary categorizations (e.g., university degree vs. lower) necessarily focus on a single threshold. As discussed in Section 4.4.3 below, distinguishing gradient from threshold effects is a priority for future research, and will require designs that preserve continuous variation across the full education distribution.</w:t>
      </w:r>
    </w:p>
    <w:p>
      <w:pPr>
        <w:jc w:val="left"/>
        <w:spacing w:before="0" w:after="120" w:line="480" w:lineRule="auto"/>
      </w:pPr>
      <w:r>
        <w:rPr>
          <w:rFonts w:ascii="Times New Roman" w:hAnsi="Times New Roman"/>
          <w:b w:val="0"/>
          <w:i w:val="0"/>
          <w:sz w:val="24"/>
        </w:rPr>
        <w:t>One finding within this review warrants specific attention as a case where the association was present at nominal significance but did not survive correction for multiple comparisons. Brito &amp; Noble (2020) reported that parental education was positively associated with posterior alpha/beta EEG power in 6–12-month-old infants (</w:t>
      </w:r>
      <w:r>
        <w:rPr>
          <w:rFonts w:ascii="Times New Roman" w:hAnsi="Times New Roman"/>
          <w:b w:val="0"/>
          <w:i/>
          <w:sz w:val="24"/>
        </w:rPr>
        <w:t>β</w:t>
      </w:r>
      <w:r>
        <w:rPr>
          <w:rFonts w:ascii="Times New Roman" w:hAnsi="Times New Roman"/>
          <w:b w:val="0"/>
          <w:i w:val="0"/>
          <w:sz w:val="24"/>
        </w:rPr>
        <w:t xml:space="preserve"> = 0.05, </w:t>
      </w:r>
      <w:r>
        <w:rPr>
          <w:rFonts w:ascii="Times New Roman" w:hAnsi="Times New Roman"/>
          <w:b w:val="0"/>
          <w:i/>
          <w:sz w:val="24"/>
        </w:rPr>
        <w:t>p</w:t>
      </w:r>
      <w:r>
        <w:rPr>
          <w:rFonts w:ascii="Times New Roman" w:hAnsi="Times New Roman"/>
          <w:b w:val="0"/>
          <w:i w:val="0"/>
          <w:sz w:val="24"/>
        </w:rPr>
        <w:t xml:space="preserve"> = .025), but this association did not survive false-discovery rate (FDR) correction across the full set of frequency-band and electrode comparisons tested. The study is classified as positive in Table 1 on the basis of its nominally significant, correctly-directed association, but the failure to survive FDR correction means the finding should be interpreted with caution and weighted accordingly. Its failure to survive FDR correction more likely reflects the combination of a relatively small effect size and the inferential cost of testing multiple outcomes simultaneously, rather than a genuine absence of association—but this cannot be ruled out. The Brito &amp; Noble (2020) sample spanned the full SES range and used a composite-separable operationalization of parental education controlling for income and other SES indicators, making sample restriction an unlikely explanation for the attenuated result. This suggests that EEG power during the 6–12-month period may be a less sensitive neural index of parental education than white matter microstructure (detectable at the same age in Turesky et al., 2022), possibly because alpha oscillations are still in a relatively undifferentiated state at 6–12 months and individual differences attributable to environmental factors are not yet reliably captured by power metrics at the scalp surface. Future studies with larger samples and pre-specified primary outcomes would clarify whether this result reflects a true absence of an EEG power association at this age or a power limitation of the existing literature.</w:t>
      </w:r>
    </w:p>
    <w:p>
      <w:pPr>
        <w:pStyle w:val="Heading2"/>
        <w:spacing w:before="200" w:after="40" w:line="360" w:lineRule="auto"/>
      </w:pPr>
      <w:r>
        <w:rPr>
          <w:rFonts w:ascii="Times New Roman" w:hAnsi="Times New Roman"/>
          <w:b/>
          <w:sz w:val="26"/>
        </w:rPr>
        <w:t>4.4 Mechanistic pathways: what the evidence constrains</w:t>
      </w:r>
    </w:p>
    <w:p>
      <w:pPr>
        <w:pStyle w:val="Heading3"/>
        <w:spacing w:before="160" w:after="40" w:line="360" w:lineRule="auto"/>
      </w:pPr>
      <w:r>
        <w:rPr>
          <w:rFonts w:ascii="Times New Roman" w:hAnsi="Times New Roman"/>
          <w:b/>
          <w:sz w:val="24"/>
        </w:rPr>
        <w:t>4.4.1 The only direct mediation test</w:t>
      </w:r>
    </w:p>
    <w:p>
      <w:pPr>
        <w:jc w:val="left"/>
        <w:spacing w:before="0" w:after="120" w:line="480" w:lineRule="auto"/>
      </w:pPr>
      <w:r>
        <w:rPr>
          <w:rFonts w:ascii="Times New Roman" w:hAnsi="Times New Roman"/>
          <w:b w:val="0"/>
          <w:i w:val="0"/>
          <w:sz w:val="24"/>
        </w:rPr>
        <w:t>Among the 16 included studies, Ursache &amp; Noble (2016) uniquely tested a direct mediation pathway, demonstrating that white matter microstructure in frontoparietal tracts partially mediated the association between parental education and executive function performance. This constitutes the only direct neural mechanism evidence in the current evidence base; all other mechanistic accounts remain inferential from indirect evidence.</w:t>
      </w:r>
    </w:p>
    <w:p>
      <w:pPr>
        <w:pStyle w:val="Heading3"/>
        <w:spacing w:before="160" w:after="40" w:line="360" w:lineRule="auto"/>
      </w:pPr>
      <w:r>
        <w:rPr>
          <w:rFonts w:ascii="Times New Roman" w:hAnsi="Times New Roman"/>
          <w:b/>
          <w:sz w:val="24"/>
        </w:rPr>
        <w:t>4.4.2 Prenatal mechanisms are a necessary component</w:t>
      </w:r>
    </w:p>
    <w:p>
      <w:pPr>
        <w:jc w:val="left"/>
        <w:spacing w:before="0" w:after="120" w:line="480" w:lineRule="auto"/>
      </w:pPr>
      <w:r>
        <w:rPr>
          <w:rFonts w:ascii="Times New Roman" w:hAnsi="Times New Roman"/>
          <w:b w:val="0"/>
          <w:i w:val="0"/>
          <w:sz w:val="24"/>
        </w:rPr>
        <w:t>Three studies measured neural outcomes in the neonatal period, prior to the accumulation of substantial postnatal environmental experience. Most directly, Ramphal et al. (2020) detected parental education associations with amygdala–prefrontal functional connectivity in full-term neonates scanned within four days of birth—a window too brief for postnatal language or caregiving inputs to have shaped functional brain connectivity, implying that fetal programming is a necessary component of the observed association. McKinnon et al. (2023), measuring neonatal brain morphology at term-equivalent age in a mixed preterm and full-term cohort after several weeks of NICU care for the preterm infants, similarly found that maternal education was associated with regional brain volumes before meaningful independent learning experience had accumulated. Konrad et al. (2024), studying 162 very preterm neonates with two MRI acquisitions spanning the NICU period, found that maternal education moderated the relationship between neonatal hippocampal development and 18-month cognitive outcome—demonstrating that the functional significance of early hippocampal organization is already shaped by maternal education within the preterm period, before substantial independent postnatal experience accrues. Together, these neonatal findings constrain the mechanistic account: cognitive stimulation and language input pathways can explain post-birth associations, but cannot account for differences already present at birth. Prenatal exposure mechanisms—including gestational stress, fetal cortisol exposure, and nutritional differences (Monk et al., 2013)—are therefore necessary rather than optional components of any complete mechanistic model.</w:t>
      </w:r>
    </w:p>
    <w:p>
      <w:pPr>
        <w:pStyle w:val="Heading3"/>
        <w:spacing w:before="160" w:after="40" w:line="360" w:lineRule="auto"/>
      </w:pPr>
      <w:r>
        <w:rPr>
          <w:rFonts w:ascii="Times New Roman" w:hAnsi="Times New Roman"/>
          <w:b/>
          <w:sz w:val="24"/>
        </w:rPr>
        <w:t>4.4.3 The gradient versus threshold question: what the current evidence permits</w:t>
      </w:r>
    </w:p>
    <w:p>
      <w:pPr>
        <w:jc w:val="left"/>
        <w:spacing w:before="0" w:after="120" w:line="480" w:lineRule="auto"/>
      </w:pPr>
      <w:r>
        <w:rPr>
          <w:rFonts w:ascii="Times New Roman" w:hAnsi="Times New Roman"/>
          <w:b w:val="0"/>
          <w:i w:val="0"/>
          <w:sz w:val="24"/>
        </w:rPr>
        <w:t>A central theoretical question in this literature, raised prominently by Noble et al. (2015) in a large structural MRI study, is whether the association between SES and brain development follows a full-range linear gradient—with advantages accruing at every increment of the education distribution—or whether effects are concentrated at the lower end, reflecting a deprivation threshold below which neural development is compromised. No included study in the present review directly tested for non-linear effects; all 16 studies modelled parental education as a continuous linear predictor or as a simple categorical comparison. A definitive empirical resolution of the gradient versus threshold debate for parental education in the 0–8 year age range therefore awaits studies that explicitly model non-linearity. However, the current evidence is not entirely agnostic between the two models.</w:t>
      </w:r>
    </w:p>
    <w:p>
      <w:pPr>
        <w:jc w:val="left"/>
        <w:spacing w:before="0" w:after="120" w:line="480" w:lineRule="auto"/>
      </w:pPr>
      <w:r>
        <w:rPr>
          <w:rFonts w:ascii="Times New Roman" w:hAnsi="Times New Roman"/>
          <w:b w:val="0"/>
          <w:i w:val="0"/>
          <w:sz w:val="24"/>
        </w:rPr>
        <w:t xml:space="preserve">Three features of the reviewed evidence offer indirect support for a gradient rather than a pure deprivation threshold. First, the two studies using full-range continuous education samples—Brito &amp; Noble (2020; </w:t>
      </w:r>
      <w:r>
        <w:rPr>
          <w:rFonts w:ascii="Times New Roman" w:hAnsi="Times New Roman"/>
          <w:b w:val="0"/>
          <w:i/>
          <w:sz w:val="24"/>
        </w:rPr>
        <w:t>β</w:t>
      </w:r>
      <w:r>
        <w:rPr>
          <w:rFonts w:ascii="Times New Roman" w:hAnsi="Times New Roman"/>
          <w:b w:val="0"/>
          <w:i w:val="0"/>
          <w:sz w:val="24"/>
        </w:rPr>
        <w:t xml:space="preserve"> = 0.05 for posterior EEG power, sample spanning &lt; high school to graduate degree) and Ozernov-Palchik et al. (2019; </w:t>
      </w:r>
      <w:r>
        <w:rPr>
          <w:rFonts w:ascii="Times New Roman" w:hAnsi="Times New Roman"/>
          <w:b w:val="0"/>
          <w:i/>
          <w:sz w:val="24"/>
        </w:rPr>
        <w:t>r</w:t>
      </w:r>
      <w:r>
        <w:rPr>
          <w:rFonts w:ascii="Times New Roman" w:hAnsi="Times New Roman"/>
          <w:b w:val="0"/>
          <w:i w:val="0"/>
          <w:sz w:val="24"/>
        </w:rPr>
        <w:t xml:space="preserve"> = 0.33 for arcuate FA, sample spanning &lt; high school to graduate degree)—both detected effects that were modelled as linear associations across the full education distribution, not as categorical contrasts restricted to the lowest-educated group. If effects were concentrated exclusively at the deprivation end, one would not expect continuous linear associations to reach significance in these full-range samples; their presence is more consistent with a gradient account, though the linear model does not preclude additional non-linearity at the lower tail. Second, Ozernov-Palchik et al. (2019) explicitly controlled for household income when modelling the education–white matter association (</w:t>
      </w:r>
      <w:r>
        <w:rPr>
          <w:rFonts w:ascii="Times New Roman" w:hAnsi="Times New Roman"/>
          <w:b w:val="0"/>
          <w:i/>
          <w:sz w:val="24"/>
        </w:rPr>
        <w:t>r</w:t>
      </w:r>
      <w:r>
        <w:rPr>
          <w:rFonts w:ascii="Times New Roman" w:hAnsi="Times New Roman"/>
          <w:b w:val="0"/>
          <w:i w:val="0"/>
          <w:sz w:val="24"/>
        </w:rPr>
        <w:t xml:space="preserve"> = 0.33 after income control), and the effect persisted across the full range. Pure deprivation threshold accounts predict that effects diminish sharply or disappear once income is controlled, because it is material deprivation rather than education per se that drives neural compromise; the persistence of the education signal across the distribution is more consistent with a gradient mechanism operating via language input quality at every education level. Third, the DTI findings in Turesky et al. (2022)—detected in infants from a sample not restricted to low-SES families—similarly suggest that education-related differences in arcuate fasciculus development are not confined to an extreme lower tail. Taken together, these observations are consistent with a gradient interpretation, while acknowledging that none of the studies was designed to test this question directly.</w:t>
      </w:r>
    </w:p>
    <w:p>
      <w:pPr>
        <w:jc w:val="left"/>
        <w:spacing w:before="0" w:after="120" w:line="480" w:lineRule="auto"/>
      </w:pPr>
      <w:r>
        <w:rPr>
          <w:rFonts w:ascii="Times New Roman" w:hAnsi="Times New Roman"/>
          <w:b w:val="0"/>
          <w:i w:val="0"/>
          <w:sz w:val="24"/>
        </w:rPr>
        <w:t>Resolving the gradient versus threshold question definitively will require studies that either deliberately oversample the lower end of the education distribution to increase statistical power to detect threshold effects, or that explicitly model polynomial or spline terms in the education–brain relationship in large full-range samples. This represents a critical design priority for future neuroimaging research, given the distinct policy implications of the two models: a gradient implies that interventions at every level of disadvantage may yield neural benefits, whereas a threshold model prioritises resources for the most deprived families.</w:t>
      </w:r>
    </w:p>
    <w:p>
      <w:pPr>
        <w:pStyle w:val="Heading2"/>
        <w:spacing w:before="200" w:after="40" w:line="360" w:lineRule="auto"/>
      </w:pPr>
      <w:r>
        <w:rPr>
          <w:rFonts w:ascii="Times New Roman" w:hAnsi="Times New Roman"/>
          <w:b/>
          <w:sz w:val="26"/>
        </w:rPr>
        <w:t>4.5 Cross-modal convergence and neural systems</w:t>
      </w:r>
    </w:p>
    <w:p>
      <w:pPr>
        <w:jc w:val="left"/>
        <w:spacing w:before="0" w:after="120" w:line="480" w:lineRule="auto"/>
      </w:pPr>
      <w:r>
        <w:rPr>
          <w:rFonts w:ascii="Times New Roman" w:hAnsi="Times New Roman"/>
          <w:b w:val="0"/>
          <w:i w:val="0"/>
          <w:sz w:val="24"/>
        </w:rPr>
        <w:t>The convergence of parental education associations across frontal and temporal neural systems—regardless of modality—supports a coherent account centered on prefrontal and perisylvian circuitry. In ERP studies, findings were heterogeneous across the two included studies: Conejero et al. (2018) found larger ERN amplitude at fronto-central electrodes associated with higher parental education, consistent with more advanced error-monitoring development; Wienke et al. (2024), using an MMN paradigm targeting auditory discrimination, produced the review's only negative result. The ERP evidence therefore does not converge on a consistent pattern, and this modality is noted here for completeness rather than as evidence of cross-modal convergence. In fNIRS, greater inferior frontal gyrus activation was found. In fMRI, effects clustered in medial prefrontal cortex (amygdala–PFC connectivity) and left inferior frontal gyrus (language network). In DTI, the arcuate fasciculus—projecting between inferior frontal and superior temporal cortex—was the most consistently implicated tract. In structural MRI, effects included frontal, parietal, and temporal surface area. Together, these findings converge on a fronto-temporal network encompassing language-processing regions (Broca's area, Wernicke's area, arcuate fasciculus) and executive/affective regulation regions (anterior cingulate, medial prefrontal cortex).</w:t>
      </w:r>
    </w:p>
    <w:p>
      <w:pPr>
        <w:jc w:val="left"/>
        <w:spacing w:before="0" w:after="120" w:line="480" w:lineRule="auto"/>
      </w:pPr>
      <w:r>
        <w:rPr>
          <w:rFonts w:ascii="Times New Roman" w:hAnsi="Times New Roman"/>
          <w:b w:val="0"/>
          <w:i w:val="0"/>
          <w:sz w:val="24"/>
        </w:rPr>
        <w:t>This convergence is theoretically coherent: language and executive function are the behavioral domains most consistently linked to parental education in behavioral and developmental studies (Hoff, 2013; Blair &amp; Raver, 2016), and the neural systems implicated here are the substrates of precisely those capacities. The cross-modal evidence thus provides a mechanistically coherent account of how parental education is translated from an environmental input into an outcome measurable at the behavioral level.</w:t>
      </w:r>
    </w:p>
    <w:p>
      <w:pPr>
        <w:pStyle w:val="Heading2"/>
        <w:spacing w:before="200" w:after="40" w:line="360" w:lineRule="auto"/>
      </w:pPr>
      <w:r>
        <w:rPr>
          <w:rFonts w:ascii="Times New Roman" w:hAnsi="Times New Roman"/>
          <w:b/>
          <w:sz w:val="26"/>
        </w:rPr>
        <w:t>4.6 Limitations and future directions</w:t>
      </w:r>
    </w:p>
    <w:p>
      <w:pPr>
        <w:jc w:val="left"/>
        <w:spacing w:before="0" w:after="120" w:line="480" w:lineRule="auto"/>
      </w:pPr>
      <w:r>
        <w:rPr>
          <w:rFonts w:ascii="Times New Roman" w:hAnsi="Times New Roman"/>
          <w:b w:val="0"/>
          <w:i w:val="0"/>
          <w:sz w:val="24"/>
        </w:rPr>
        <w:t>Several limitations of the reviewed evidence base warrant explicit acknowledgment.</w:t>
      </w:r>
    </w:p>
    <w:p>
      <w:pPr>
        <w:jc w:val="left"/>
        <w:spacing w:before="0" w:after="120" w:line="480" w:lineRule="auto"/>
      </w:pPr>
      <w:r>
        <w:rPr>
          <w:rFonts w:ascii="Times New Roman" w:hAnsi="Times New Roman"/>
          <w:b w:val="0"/>
          <w:i w:val="0"/>
          <w:sz w:val="24"/>
        </w:rPr>
        <w:t>The most variable feature across studies was how parental education was measured. Across 16 studies, parental education was operationalized in at least six distinct ways (maternal years, paternal years, mean parental years, highest parental level, binary degree attainment, composite-separable). Notably, 7 of 16 studies operationalized education specifically as maternal education; the remaining 9 studies used a combined or highest-parental measure. The theoretical mechanisms proposed in this review—language input quality, caregiver sensitivity, stress buffering—differ systematically for maternal versus paternal education, and it remains unclear whether paternal education confers independent neural advantages beyond those associated with maternal education. Where this review's findings reflect primarily maternal education associations (7 studies), caution is warranted in generalising conclusions to paternal or combined-parental education effects. This heterogeneity also limits the precision of conclusions about dose–response relationships and makes it impossible to determine whether specific thresholds of educational attainment (e.g., university degree) confer qualitatively different advantages than incremental differences within lower educational levels.</w:t>
      </w:r>
    </w:p>
    <w:p>
      <w:pPr>
        <w:jc w:val="left"/>
        <w:spacing w:before="0" w:after="120" w:line="480" w:lineRule="auto"/>
      </w:pPr>
      <w:r>
        <w:rPr>
          <w:rFonts w:ascii="Times New Roman" w:hAnsi="Times New Roman"/>
          <w:b w:val="0"/>
          <w:i w:val="0"/>
          <w:sz w:val="24"/>
        </w:rPr>
        <w:t>No included study directly measured the hypothesized mediating variables alongside neural outcomes. As noted in Section 3.6, the mechanistic pathways proposed—cognitive stimulation and stress reduction—remain inferential from indirect evidence. Specifically designed studies coupling home language environment measurement (e.g., LENA recording; Gilkerson et al., 2017), caregiver stress biomarkers, and longitudinal neural assessment are needed to formally test the mechanistic chains.</w:t>
      </w:r>
    </w:p>
    <w:p>
      <w:pPr>
        <w:jc w:val="left"/>
        <w:spacing w:before="0" w:after="120" w:line="480" w:lineRule="auto"/>
      </w:pPr>
      <w:r>
        <w:rPr>
          <w:rFonts w:ascii="Times New Roman" w:hAnsi="Times New Roman"/>
          <w:b w:val="0"/>
          <w:i w:val="0"/>
          <w:sz w:val="24"/>
        </w:rPr>
        <w:t>Geographic and cultural concentration is a further limitation. Despite spanning 9 countries or regions, the included studies are heavily concentrated in high-income Western contexts, particularly the United States, United Kingdom, and Canada (10 of 16 studies). Only one study (Wijeakumar et al., 2019) included a sample from a low- or middle-income country, and its cross-cultural design precluded direct inference about non-Western contexts in isolation. The systematic search was also restricted to English-language publications, further limiting coverage of research published in other languages, including Chinese, which would be essential for capturing the substantial and growing neurodevelopmental literature from China. The generalizability of findings to non-Western, non-English-speaking, and low-income country contexts is therefore unknown, and should not be assumed.</w:t>
      </w:r>
    </w:p>
    <w:p>
      <w:pPr>
        <w:jc w:val="left"/>
        <w:spacing w:before="0" w:after="120" w:line="480" w:lineRule="auto"/>
      </w:pPr>
      <w:r>
        <w:rPr>
          <w:rFonts w:ascii="Times New Roman" w:hAnsi="Times New Roman"/>
          <w:b w:val="0"/>
          <w:i w:val="0"/>
          <w:sz w:val="24"/>
        </w:rPr>
        <w:t xml:space="preserve">Several included studies had samples of fewer than 50 children (Stiver et al., 2015, </w:t>
      </w:r>
      <w:r>
        <w:rPr>
          <w:rFonts w:ascii="Times New Roman" w:hAnsi="Times New Roman"/>
          <w:b w:val="0"/>
          <w:i/>
          <w:sz w:val="24"/>
        </w:rPr>
        <w:t>N</w:t>
      </w:r>
      <w:r>
        <w:rPr>
          <w:rFonts w:ascii="Times New Roman" w:hAnsi="Times New Roman"/>
          <w:b w:val="0"/>
          <w:i w:val="0"/>
          <w:sz w:val="24"/>
        </w:rPr>
        <w:t xml:space="preserve"> = 26; Wijeakumar et al., 2019, </w:t>
      </w:r>
      <w:r>
        <w:rPr>
          <w:rFonts w:ascii="Times New Roman" w:hAnsi="Times New Roman"/>
          <w:b w:val="0"/>
          <w:i/>
          <w:sz w:val="24"/>
        </w:rPr>
        <w:t>N</w:t>
      </w:r>
      <w:r>
        <w:rPr>
          <w:rFonts w:ascii="Times New Roman" w:hAnsi="Times New Roman"/>
          <w:b w:val="0"/>
          <w:i w:val="0"/>
          <w:sz w:val="24"/>
        </w:rPr>
        <w:t xml:space="preserve"> = 35; Demir-Lira et al., 2021, </w:t>
      </w:r>
      <w:r>
        <w:rPr>
          <w:rFonts w:ascii="Times New Roman" w:hAnsi="Times New Roman"/>
          <w:b w:val="0"/>
          <w:i/>
          <w:sz w:val="24"/>
        </w:rPr>
        <w:t>N</w:t>
      </w:r>
      <w:r>
        <w:rPr>
          <w:rFonts w:ascii="Times New Roman" w:hAnsi="Times New Roman"/>
          <w:b w:val="0"/>
          <w:i w:val="0"/>
          <w:sz w:val="24"/>
        </w:rPr>
        <w:t xml:space="preserve"> = 42), limiting statistical power and increasing the risk of inflated effect size estimates via winner's curse (Button et al., 2013). Future studies should target sample sizes of ≥100 in any single neural modality and ideally use pre-registered, adequately powered designs.</w:t>
      </w:r>
    </w:p>
    <w:p>
      <w:pPr>
        <w:jc w:val="left"/>
        <w:spacing w:before="0" w:after="120" w:line="480" w:lineRule="auto"/>
      </w:pPr>
      <w:r>
        <w:rPr>
          <w:rFonts w:ascii="Times New Roman" w:hAnsi="Times New Roman"/>
          <w:b w:val="0"/>
          <w:i w:val="0"/>
          <w:sz w:val="24"/>
        </w:rPr>
        <w:t>While all included studies controlled for at least some confounders, none controlled for the full set of variables that may co-vary with parental education and neural outcomes—including prenatal healthcare quality, gestational complications, postnatal nutrition, childcare quality, and the child's own emerging cognitive capacities. Residual confounding remains a plausible alternative explanation for some effect estimates.</w:t>
      </w:r>
    </w:p>
    <w:p>
      <w:pPr>
        <w:jc w:val="left"/>
        <w:spacing w:before="0" w:after="120" w:line="480" w:lineRule="auto"/>
      </w:pPr>
      <w:r>
        <w:rPr>
          <w:rFonts w:ascii="Times New Roman" w:hAnsi="Times New Roman"/>
          <w:b w:val="0"/>
          <w:i w:val="0"/>
          <w:sz w:val="24"/>
        </w:rPr>
        <w:t>A sensitivity analysis restricted to the 12 studies with participants entirely within the 0–8 year window yielded consistent findings: 11 of 12 (92%) reported positive associations, and the arcuate fasciculus and neonatal effects remained the most prominent results. This indicates that inclusion of the four studies extending beyond 8 years did not materially alter the review's conclusions, and that the 0–8 year literature alone is sufficient to support the three principal findings of this review.</w:t>
      </w:r>
    </w:p>
    <w:p>
      <w:pPr>
        <w:jc w:val="left"/>
        <w:spacing w:before="0" w:after="120" w:line="480" w:lineRule="auto"/>
      </w:pPr>
      <w:r>
        <w:rPr>
          <w:rFonts w:ascii="Times New Roman" w:hAnsi="Times New Roman"/>
          <w:b w:val="0"/>
          <w:i w:val="0"/>
          <w:sz w:val="24"/>
        </w:rPr>
        <w:t>The possibility of publication bias cannot be formally evaluated in the absence of a quantitative meta-analysis; funnel plot asymmetry tests and Egger's test are not applicable to narrative syntheses. However, the high proportion of positive findings (15 of 16 studies, 94%) may partly reflect selective publication of studies reporting significant associations between parental education and neural outcomes, as null findings in this literature are less likely to be submitted or accepted for publication. This risk is compounded by the restriction of the search to English-language databases, which may systematically under-represent null or negative findings published in other languages. The small sample sizes characteristic of neuroimaging studies further increase the risk of inflated effect size estimates in published work (Button et al., 2013). Readers should therefore interpret the observed directional consistency as suggestive of a genuine environmental signal, while acknowledging that the true proportion of null associations in the unpublished literature is unknown.</w:t>
      </w:r>
    </w:p>
    <w:p>
      <w:pPr>
        <w:jc w:val="left"/>
        <w:spacing w:before="0" w:after="120" w:line="480" w:lineRule="auto"/>
      </w:pPr>
      <w:r>
        <w:rPr>
          <w:rFonts w:ascii="Times New Roman" w:hAnsi="Times New Roman"/>
          <w:b w:val="0"/>
          <w:i w:val="0"/>
          <w:sz w:val="24"/>
        </w:rPr>
        <w:t>The requirement that parental education have an independently estimable regression coefficient introduces a second, distinct form of selection bias. Studies in which parental education showed no independent association with neural outcomes are more likely to have operationalized education as part of a composite index without a separately reported coefficient—and thus be excluded under the E2 criterion. The high positive rate observed in this review may therefore partly reflect the structure of the inclusion criterion rather than solely the biological reality. This source of selection bias is conceptually separable from publication bias: it operates at the level of how parental education was modelled (and thus reported) rather than at the level of whether null studies were submitted for publication. Readers should interpret the directional consistency with awareness that the reviewed evidence base is necessarily drawn from studies in which an independent education signal was sufficiently prominent to be modelled and reported separately, and that both publication bias and inclusion-criterion selection may jointly contribute to the observed proportion of positive findings.</w:t>
      </w:r>
    </w:p>
    <w:p>
      <w:pPr>
        <w:jc w:val="left"/>
        <w:spacing w:before="0" w:after="120" w:line="480" w:lineRule="auto"/>
      </w:pPr>
      <w:r>
        <w:rPr>
          <w:rFonts w:ascii="Times New Roman" w:hAnsi="Times New Roman"/>
          <w:b w:val="0"/>
          <w:i w:val="0"/>
          <w:sz w:val="24"/>
        </w:rPr>
        <w:t>All included studies employed observational designs that cannot rule out genetic confounding via passive gene–environment correlation. Parental education is moderately heritable (~40%), and children of more educated parents inherit both genetic predispositions for cognitive development and enriched environments (Plomin et al., 2013; Branigan et al., 2013). None of the included studies used designs—such as monozygotic twin comparisons, adoption studies, or polygenic score-controlled analyses—that could disentangle genetic from environmental pathways. The observed neural associations may therefore partly reflect shared genetic variance between parent and child rather than purely environmental transmission. Future studies employing genetically informed designs would substantially strengthen causal inference.</w:t>
      </w:r>
    </w:p>
    <w:p>
      <w:pPr>
        <w:jc w:val="left"/>
        <w:spacing w:before="0" w:after="120" w:line="480" w:lineRule="auto"/>
      </w:pPr>
      <w:r>
        <w:rPr>
          <w:rFonts w:ascii="Times New Roman" w:hAnsi="Times New Roman"/>
          <w:b w:val="0"/>
          <w:i w:val="0"/>
          <w:sz w:val="24"/>
        </w:rPr>
        <w:t>Future research priorities identified by this review include: (1) neonatal and infant studies with prospective prenatal education assessment and direct biological pathway measurement (cortisol, language input); (2) studies in East Asian, South Asian, and sub-Saharan African samples with diverse educational systems; (3) multi-site, pre-registered longitudinal designs with sample sizes of ≥200 per wave (Knudsen et al., 2006); and (4) intervention studies—ideally randomized—examining whether parenting programmes targeting language enrichment or stress reduction in low-education families produce detectable changes in neural markers.</w:t>
      </w:r>
    </w:p>
    <w:p>
      <w:pPr>
        <w:jc w:val="left"/>
        <w:spacing w:before="0" w:after="120" w:line="480" w:lineRule="auto"/>
      </w:pPr>
      <w:r>
        <w:rPr>
          <w:rFonts w:ascii="Times New Roman" w:hAnsi="Times New Roman"/>
          <w:b w:val="0"/>
          <w:i w:val="0"/>
          <w:sz w:val="24"/>
        </w:rPr>
        <w:t>Finally, this review was not pre-registered in PROSPERO. As a narrative synthesis without a prospective analysis protocol, formal registration was not completed prior to data collection; this is acknowledged as a limitation in line with PRISMA 2020 transparency standards.</w:t>
      </w:r>
    </w:p>
    <w:p>
      <w:pPr>
        <w:jc w:val="left"/>
        <w:spacing w:before="0" w:after="120" w:line="480" w:lineRule="auto"/>
      </w:pPr>
      <w:r>
        <w:rPr>
          <w:rFonts w:ascii="Times New Roman" w:hAnsi="Times New Roman"/>
          <w:b w:val="0"/>
          <w:i w:val="0"/>
          <w:sz w:val="24"/>
        </w:rPr>
        <w:t>Establishing whether prenatal mechanisms—suggested by three neonatal studies in this review—are a necessary rather than merely contributory component of the parental education–neural development association would require studies coupling prenatal biomarkers (cortisol, placental function, fetal brain imaging) with postnatal neural outcomes; this represents a high-priority future research agenda.</w:t>
      </w:r>
    </w:p>
    <w:p>
      <w:pPr>
        <w:pStyle w:val="Heading2"/>
        <w:spacing w:before="200" w:after="40" w:line="360" w:lineRule="auto"/>
      </w:pPr>
      <w:r>
        <w:rPr>
          <w:rFonts w:ascii="Times New Roman" w:hAnsi="Times New Roman"/>
          <w:b/>
          <w:sz w:val="26"/>
        </w:rPr>
        <w:t>4.7 Conclusions</w:t>
      </w:r>
    </w:p>
    <w:p>
      <w:pPr>
        <w:jc w:val="left"/>
        <w:spacing w:before="0" w:after="120" w:line="480" w:lineRule="auto"/>
      </w:pPr>
      <w:r>
        <w:rPr>
          <w:rFonts w:ascii="Times New Roman" w:hAnsi="Times New Roman"/>
          <w:b w:val="0"/>
          <w:i w:val="0"/>
          <w:sz w:val="24"/>
        </w:rPr>
        <w:t>This systematic review provides the most comprehensive cross-modal synthesis to date of evidence linking parental education to neural development in early childhood. The evidence base—spanning EEG, ERP, fNIRS, fMRI, DTI, and structural MRI across the neonatal to school-age period—converges on a single conclusion: higher parental education is broadly associated with more advanced neural development, with associations emerging as early as the neonatal period and persisting through middle childhood. Effects are concentrated in language and executive control networks—the neural substrates of the behavioral domains most consistently associated with parental education in the developmental literature.</w:t>
      </w:r>
    </w:p>
    <w:p>
      <w:pPr>
        <w:jc w:val="left"/>
        <w:spacing w:before="0" w:after="120" w:line="480" w:lineRule="auto"/>
      </w:pPr>
      <w:r>
        <w:rPr>
          <w:rFonts w:ascii="Times New Roman" w:hAnsi="Times New Roman"/>
          <w:b w:val="0"/>
          <w:i w:val="0"/>
          <w:sz w:val="24"/>
        </w:rPr>
        <w:t>These findings carry implications for early childhood policy. If the parental education gradient in brain development begins prenatally and widens through the first years of life, then policy approaches restricted to school-age intervention are unlikely to address the root neural mechanisms. Prenatal and perinatal support programmes targeting the quality of the home learning environment—language enrichment, caregiver stress management, and responsive caregiving—may be necessary to reduce socioeconomic disparities in neural development before they become consolidated. Parental education deserves treatment not merely as a demographic control variable in neurodevelopmental research, but as a substantive predictor of the environmental inputs that shape the developing brain.</w:t>
      </w:r>
    </w:p>
    <w:p>
      <w:r>
        <w:br w:type="page"/>
      </w:r>
    </w:p>
    <w:p>
      <w:pPr>
        <w:pStyle w:val="Heading1"/>
        <w:spacing w:before="240" w:after="60" w:line="360" w:lineRule="auto"/>
      </w:pPr>
      <w:r>
        <w:rPr>
          <w:rFonts w:ascii="Times New Roman" w:hAnsi="Times New Roman"/>
          <w:b/>
          <w:sz w:val="28"/>
        </w:rPr>
        <w:t>Declarations</w:t>
      </w:r>
    </w:p>
    <w:p>
      <w:pPr>
        <w:jc w:val="left"/>
        <w:spacing w:before="0" w:after="120" w:line="480" w:lineRule="auto"/>
      </w:pPr>
      <w:r>
        <w:rPr>
          <w:rFonts w:ascii="Times New Roman" w:hAnsi="Times New Roman"/>
          <w:b/>
          <w:i w:val="0"/>
          <w:sz w:val="24"/>
        </w:rPr>
        <w:t>Ethics approval and consent to participate.</w:t>
      </w:r>
      <w:r>
        <w:rPr>
          <w:rFonts w:ascii="Times New Roman" w:hAnsi="Times New Roman"/>
          <w:b w:val="0"/>
          <w:i w:val="0"/>
          <w:sz w:val="24"/>
        </w:rPr>
        <w:t xml:space="preserve"> This study is a systematic review of previously published literature and did not involve primary data collection from human participants. Accordingly, ethics committee approval and informed consent were not required.</w:t>
      </w:r>
    </w:p>
    <w:p>
      <w:pPr>
        <w:jc w:val="left"/>
        <w:spacing w:before="0" w:after="120" w:line="480" w:lineRule="auto"/>
      </w:pPr>
      <w:r>
        <w:rPr>
          <w:rFonts w:ascii="Times New Roman" w:hAnsi="Times New Roman"/>
          <w:b/>
          <w:i w:val="0"/>
          <w:sz w:val="24"/>
        </w:rPr>
        <w:t>Conflict of interest.</w:t>
      </w:r>
      <w:r>
        <w:rPr>
          <w:rFonts w:ascii="Times New Roman" w:hAnsi="Times New Roman"/>
          <w:b w:val="0"/>
          <w:i w:val="0"/>
          <w:sz w:val="24"/>
        </w:rPr>
        <w:t xml:space="preserve"> The authors declare no conflict of interest.</w:t>
      </w:r>
    </w:p>
    <w:p>
      <w:pPr>
        <w:jc w:val="left"/>
        <w:spacing w:before="0" w:after="120" w:line="480" w:lineRule="auto"/>
      </w:pPr>
      <w:r>
        <w:rPr>
          <w:rFonts w:ascii="Times New Roman" w:hAnsi="Times New Roman"/>
          <w:b/>
          <w:i w:val="0"/>
          <w:sz w:val="24"/>
        </w:rPr>
        <w:t>Funding.</w:t>
      </w:r>
      <w:r>
        <w:rPr>
          <w:rFonts w:ascii="Times New Roman" w:hAnsi="Times New Roman"/>
          <w:b w:val="0"/>
          <w:i w:val="0"/>
          <w:sz w:val="24"/>
        </w:rPr>
        <w:t xml:space="preserve"> This research received no specific grant from any funding agency in the public, commercial, or not-for-profit sectors.</w:t>
      </w:r>
    </w:p>
    <w:p>
      <w:pPr>
        <w:jc w:val="left"/>
        <w:spacing w:before="0" w:after="120" w:line="480" w:lineRule="auto"/>
      </w:pPr>
      <w:r>
        <w:rPr>
          <w:rFonts w:ascii="Times New Roman" w:hAnsi="Times New Roman"/>
          <w:b/>
          <w:i w:val="0"/>
          <w:sz w:val="24"/>
        </w:rPr>
        <w:t>Data availability.</w:t>
      </w:r>
      <w:r>
        <w:rPr>
          <w:rFonts w:ascii="Times New Roman" w:hAnsi="Times New Roman"/>
          <w:b w:val="0"/>
          <w:i w:val="0"/>
          <w:sz w:val="24"/>
        </w:rPr>
        <w:t xml:space="preserve"> The data extraction table supporting the findings of this review is available from the corresponding author upon reasonable request.</w:t>
      </w:r>
    </w:p>
    <w:p>
      <w:r>
        <w:br w:type="page"/>
      </w:r>
    </w:p>
    <w:p>
      <w:pPr>
        <w:pStyle w:val="Heading1"/>
        <w:spacing w:before="240" w:after="60" w:line="360" w:lineRule="auto"/>
      </w:pPr>
      <w:r>
        <w:rPr>
          <w:rFonts w:ascii="Times New Roman" w:hAnsi="Times New Roman"/>
          <w:b/>
          <w:sz w:val="28"/>
        </w:rPr>
        <w:t>References</w:t>
      </w:r>
    </w:p>
    <w:p>
      <w:pPr>
        <w:jc w:val="left"/>
        <w:spacing w:before="0" w:after="120" w:line="480" w:lineRule="auto"/>
      </w:pPr>
      <w:r>
        <w:rPr>
          <w:rFonts w:ascii="Times New Roman" w:hAnsi="Times New Roman"/>
          <w:b w:val="0"/>
          <w:i w:val="0"/>
          <w:sz w:val="24"/>
        </w:rPr>
        <w:t xml:space="preserve">Blair, C., &amp; Raver, C. C. (2016). Poverty, stress, and brain development: New directions for prevention and intervention. </w:t>
      </w:r>
      <w:r>
        <w:rPr>
          <w:rFonts w:ascii="Times New Roman" w:hAnsi="Times New Roman"/>
          <w:b w:val="0"/>
          <w:i/>
          <w:sz w:val="24"/>
        </w:rPr>
        <w:t>Academic Pediatrics</w:t>
      </w:r>
      <w:r>
        <w:rPr>
          <w:rFonts w:ascii="Times New Roman" w:hAnsi="Times New Roman"/>
          <w:b w:val="0"/>
          <w:i w:val="0"/>
          <w:sz w:val="24"/>
        </w:rPr>
        <w:t xml:space="preserve">, </w:t>
      </w:r>
      <w:r>
        <w:rPr>
          <w:rFonts w:ascii="Times New Roman" w:hAnsi="Times New Roman"/>
          <w:b w:val="0"/>
          <w:i/>
          <w:sz w:val="24"/>
        </w:rPr>
        <w:t>16</w:t>
      </w:r>
      <w:r>
        <w:rPr>
          <w:rFonts w:ascii="Times New Roman" w:hAnsi="Times New Roman"/>
          <w:b w:val="0"/>
          <w:i w:val="0"/>
          <w:sz w:val="24"/>
        </w:rPr>
        <w:t>(3 Suppl), S30–S36. https://doi.org/10.1016/j.acap.2016.01.010</w:t>
      </w:r>
    </w:p>
    <w:p>
      <w:pPr>
        <w:jc w:val="left"/>
        <w:spacing w:before="0" w:after="120" w:line="480" w:lineRule="auto"/>
      </w:pPr>
      <w:r>
        <w:rPr>
          <w:rFonts w:ascii="Times New Roman" w:hAnsi="Times New Roman"/>
          <w:b w:val="0"/>
          <w:i w:val="0"/>
          <w:sz w:val="24"/>
        </w:rPr>
        <w:t xml:space="preserve">Bradley, R. H., &amp; Corwyn, R. F. (2002). Socioeconomic status and child development. </w:t>
      </w:r>
      <w:r>
        <w:rPr>
          <w:rFonts w:ascii="Times New Roman" w:hAnsi="Times New Roman"/>
          <w:b w:val="0"/>
          <w:i/>
          <w:sz w:val="24"/>
        </w:rPr>
        <w:t>Annual Review of Psychology</w:t>
      </w:r>
      <w:r>
        <w:rPr>
          <w:rFonts w:ascii="Times New Roman" w:hAnsi="Times New Roman"/>
          <w:b w:val="0"/>
          <w:i w:val="0"/>
          <w:sz w:val="24"/>
        </w:rPr>
        <w:t xml:space="preserve">, </w:t>
      </w:r>
      <w:r>
        <w:rPr>
          <w:rFonts w:ascii="Times New Roman" w:hAnsi="Times New Roman"/>
          <w:b w:val="0"/>
          <w:i/>
          <w:sz w:val="24"/>
        </w:rPr>
        <w:t>53</w:t>
      </w:r>
      <w:r>
        <w:rPr>
          <w:rFonts w:ascii="Times New Roman" w:hAnsi="Times New Roman"/>
          <w:b w:val="0"/>
          <w:i w:val="0"/>
          <w:sz w:val="24"/>
        </w:rPr>
        <w:t>, 371–399. https://doi.org/10.1146/annurev.psych.53.100901.135233</w:t>
      </w:r>
    </w:p>
    <w:p>
      <w:pPr>
        <w:jc w:val="left"/>
        <w:spacing w:before="0" w:after="120" w:line="480" w:lineRule="auto"/>
      </w:pPr>
      <w:r>
        <w:rPr>
          <w:rFonts w:ascii="Times New Roman" w:hAnsi="Times New Roman"/>
          <w:b w:val="0"/>
          <w:i w:val="0"/>
          <w:sz w:val="24"/>
        </w:rPr>
        <w:t xml:space="preserve">Branigan, A. R., McCallum, K. J., &amp; Freese, J. (2013). Variation in the heritability of educational attainment: An international meta-analysis. </w:t>
      </w:r>
      <w:r>
        <w:rPr>
          <w:rFonts w:ascii="Times New Roman" w:hAnsi="Times New Roman"/>
          <w:b w:val="0"/>
          <w:i/>
          <w:sz w:val="24"/>
        </w:rPr>
        <w:t>Social Forces</w:t>
      </w:r>
      <w:r>
        <w:rPr>
          <w:rFonts w:ascii="Times New Roman" w:hAnsi="Times New Roman"/>
          <w:b w:val="0"/>
          <w:i w:val="0"/>
          <w:sz w:val="24"/>
        </w:rPr>
        <w:t xml:space="preserve">, </w:t>
      </w:r>
      <w:r>
        <w:rPr>
          <w:rFonts w:ascii="Times New Roman" w:hAnsi="Times New Roman"/>
          <w:b w:val="0"/>
          <w:i/>
          <w:sz w:val="24"/>
        </w:rPr>
        <w:t>92</w:t>
      </w:r>
      <w:r>
        <w:rPr>
          <w:rFonts w:ascii="Times New Roman" w:hAnsi="Times New Roman"/>
          <w:b w:val="0"/>
          <w:i w:val="0"/>
          <w:sz w:val="24"/>
        </w:rPr>
        <w:t>(1), 109–140. https://doi.org/10.1093/sf/sot076</w:t>
      </w:r>
    </w:p>
    <w:p>
      <w:pPr>
        <w:jc w:val="left"/>
        <w:spacing w:before="0" w:after="120" w:line="480" w:lineRule="auto"/>
      </w:pPr>
      <w:r>
        <w:rPr>
          <w:rFonts w:ascii="Times New Roman" w:hAnsi="Times New Roman"/>
          <w:b w:val="0"/>
          <w:i w:val="0"/>
          <w:sz w:val="24"/>
        </w:rPr>
        <w:t xml:space="preserve">Brito, N. H., Troller-Renfree, S. V., Leon-Santos, A., Isler, J. R., Fifer, W. P., &amp; Noble, K. G. (2020). Associations among the home language environment and neural activity during infancy. </w:t>
      </w:r>
      <w:r>
        <w:rPr>
          <w:rFonts w:ascii="Times New Roman" w:hAnsi="Times New Roman"/>
          <w:b w:val="0"/>
          <w:i/>
          <w:sz w:val="24"/>
        </w:rPr>
        <w:t>Developmental Cognitive Neuroscience</w:t>
      </w:r>
      <w:r>
        <w:rPr>
          <w:rFonts w:ascii="Times New Roman" w:hAnsi="Times New Roman"/>
          <w:b w:val="0"/>
          <w:i w:val="0"/>
          <w:sz w:val="24"/>
        </w:rPr>
        <w:t xml:space="preserve">, </w:t>
      </w:r>
      <w:r>
        <w:rPr>
          <w:rFonts w:ascii="Times New Roman" w:hAnsi="Times New Roman"/>
          <w:b w:val="0"/>
          <w:i/>
          <w:sz w:val="24"/>
        </w:rPr>
        <w:t>43</w:t>
      </w:r>
      <w:r>
        <w:rPr>
          <w:rFonts w:ascii="Times New Roman" w:hAnsi="Times New Roman"/>
          <w:b w:val="0"/>
          <w:i w:val="0"/>
          <w:sz w:val="24"/>
        </w:rPr>
        <w:t>, Article 100780. https://doi.org/10.1016/j.dcn.2020.100780</w:t>
      </w:r>
    </w:p>
    <w:p>
      <w:pPr>
        <w:jc w:val="left"/>
        <w:spacing w:before="0" w:after="120" w:line="480" w:lineRule="auto"/>
      </w:pPr>
      <w:r>
        <w:rPr>
          <w:rFonts w:ascii="Times New Roman" w:hAnsi="Times New Roman"/>
          <w:b w:val="0"/>
          <w:i w:val="0"/>
          <w:sz w:val="24"/>
        </w:rPr>
        <w:t xml:space="preserve">Button, K. S., Ioannidis, J. P. A., Mokrysz, C., Nosek, B. A., Flint, J., Robinson, E. S. J., &amp; Munafò, M. R. (2013). Power failure: Why small sample size undermines the reliability of neuroscience. </w:t>
      </w:r>
      <w:r>
        <w:rPr>
          <w:rFonts w:ascii="Times New Roman" w:hAnsi="Times New Roman"/>
          <w:b w:val="0"/>
          <w:i/>
          <w:sz w:val="24"/>
        </w:rPr>
        <w:t>Nature Reviews Neuroscience</w:t>
      </w:r>
      <w:r>
        <w:rPr>
          <w:rFonts w:ascii="Times New Roman" w:hAnsi="Times New Roman"/>
          <w:b w:val="0"/>
          <w:i w:val="0"/>
          <w:sz w:val="24"/>
        </w:rPr>
        <w:t xml:space="preserve">, </w:t>
      </w:r>
      <w:r>
        <w:rPr>
          <w:rFonts w:ascii="Times New Roman" w:hAnsi="Times New Roman"/>
          <w:b w:val="0"/>
          <w:i/>
          <w:sz w:val="24"/>
        </w:rPr>
        <w:t>14</w:t>
      </w:r>
      <w:r>
        <w:rPr>
          <w:rFonts w:ascii="Times New Roman" w:hAnsi="Times New Roman"/>
          <w:b w:val="0"/>
          <w:i w:val="0"/>
          <w:sz w:val="24"/>
        </w:rPr>
        <w:t>(5), 365–376. https://doi.org/10.1038/nrn3475</w:t>
      </w:r>
    </w:p>
    <w:p>
      <w:pPr>
        <w:jc w:val="left"/>
        <w:spacing w:before="0" w:after="120" w:line="480" w:lineRule="auto"/>
      </w:pPr>
      <w:r>
        <w:rPr>
          <w:rFonts w:ascii="Times New Roman" w:hAnsi="Times New Roman"/>
          <w:b w:val="0"/>
          <w:i w:val="0"/>
          <w:sz w:val="24"/>
        </w:rPr>
        <w:t xml:space="preserve">Campbell, M., McKenzie, J. E., Sowden, A., Katikireddi, S. V., Brennan, S. E., Ellis, S., Hartmann-Boyce, J., Ryan, R., Shepperd, S., Thomas, J., Welch, V., &amp; Thomson, H. (2020). Synthesis without meta-analysis (SWiM) in systematic reviews: Reporting guideline. </w:t>
      </w:r>
      <w:r>
        <w:rPr>
          <w:rFonts w:ascii="Times New Roman" w:hAnsi="Times New Roman"/>
          <w:b w:val="0"/>
          <w:i/>
          <w:sz w:val="24"/>
        </w:rPr>
        <w:t>BMJ</w:t>
      </w:r>
      <w:r>
        <w:rPr>
          <w:rFonts w:ascii="Times New Roman" w:hAnsi="Times New Roman"/>
          <w:b w:val="0"/>
          <w:i w:val="0"/>
          <w:sz w:val="24"/>
        </w:rPr>
        <w:t xml:space="preserve">, </w:t>
      </w:r>
      <w:r>
        <w:rPr>
          <w:rFonts w:ascii="Times New Roman" w:hAnsi="Times New Roman"/>
          <w:b w:val="0"/>
          <w:i/>
          <w:sz w:val="24"/>
        </w:rPr>
        <w:t>368</w:t>
      </w:r>
      <w:r>
        <w:rPr>
          <w:rFonts w:ascii="Times New Roman" w:hAnsi="Times New Roman"/>
          <w:b w:val="0"/>
          <w:i w:val="0"/>
          <w:sz w:val="24"/>
        </w:rPr>
        <w:t>, l6890. https://doi.org/10.1136/bmj.l6890</w:t>
      </w:r>
    </w:p>
    <w:p>
      <w:pPr>
        <w:jc w:val="left"/>
        <w:spacing w:before="0" w:after="120" w:line="480" w:lineRule="auto"/>
      </w:pPr>
      <w:r>
        <w:rPr>
          <w:rFonts w:ascii="Times New Roman" w:hAnsi="Times New Roman"/>
          <w:b w:val="0"/>
          <w:i w:val="0"/>
          <w:sz w:val="24"/>
        </w:rPr>
        <w:t xml:space="preserve">Catani, M., &amp; Mesulam, M. (2008). The arcuate fasciculus and the disconnection theme in language and aphasia: History and current state. </w:t>
      </w:r>
      <w:r>
        <w:rPr>
          <w:rFonts w:ascii="Times New Roman" w:hAnsi="Times New Roman"/>
          <w:b w:val="0"/>
          <w:i/>
          <w:sz w:val="24"/>
        </w:rPr>
        <w:t>Cortex</w:t>
      </w:r>
      <w:r>
        <w:rPr>
          <w:rFonts w:ascii="Times New Roman" w:hAnsi="Times New Roman"/>
          <w:b w:val="0"/>
          <w:i w:val="0"/>
          <w:sz w:val="24"/>
        </w:rPr>
        <w:t xml:space="preserve">, </w:t>
      </w:r>
      <w:r>
        <w:rPr>
          <w:rFonts w:ascii="Times New Roman" w:hAnsi="Times New Roman"/>
          <w:b w:val="0"/>
          <w:i/>
          <w:sz w:val="24"/>
        </w:rPr>
        <w:t>44</w:t>
      </w:r>
      <w:r>
        <w:rPr>
          <w:rFonts w:ascii="Times New Roman" w:hAnsi="Times New Roman"/>
          <w:b w:val="0"/>
          <w:i w:val="0"/>
          <w:sz w:val="24"/>
        </w:rPr>
        <w:t>(8), 953–961. https://doi.org/10.1016/j.cortex.2008.04.002</w:t>
      </w:r>
    </w:p>
    <w:p>
      <w:pPr>
        <w:jc w:val="left"/>
        <w:spacing w:before="0" w:after="120" w:line="480" w:lineRule="auto"/>
      </w:pPr>
      <w:r>
        <w:rPr>
          <w:rFonts w:ascii="Times New Roman" w:hAnsi="Times New Roman"/>
          <w:b w:val="0"/>
          <w:i w:val="0"/>
          <w:sz w:val="24"/>
        </w:rPr>
        <w:t xml:space="preserve">Conejero, Á., Guerra, S., Abundis-Gutiérrez, A., &amp; Rueda, M. R. (2018). Frontal theta activation associated with error monitoring in toddlers: influence of parental education. </w:t>
      </w:r>
      <w:r>
        <w:rPr>
          <w:rFonts w:ascii="Times New Roman" w:hAnsi="Times New Roman"/>
          <w:b w:val="0"/>
          <w:i/>
          <w:sz w:val="24"/>
        </w:rPr>
        <w:t>Developmental Science</w:t>
      </w:r>
      <w:r>
        <w:rPr>
          <w:rFonts w:ascii="Times New Roman" w:hAnsi="Times New Roman"/>
          <w:b w:val="0"/>
          <w:i w:val="0"/>
          <w:sz w:val="24"/>
        </w:rPr>
        <w:t xml:space="preserve">, </w:t>
      </w:r>
      <w:r>
        <w:rPr>
          <w:rFonts w:ascii="Times New Roman" w:hAnsi="Times New Roman"/>
          <w:b w:val="0"/>
          <w:i/>
          <w:sz w:val="24"/>
        </w:rPr>
        <w:t>21</w:t>
      </w:r>
      <w:r>
        <w:rPr>
          <w:rFonts w:ascii="Times New Roman" w:hAnsi="Times New Roman"/>
          <w:b w:val="0"/>
          <w:i w:val="0"/>
          <w:sz w:val="24"/>
        </w:rPr>
        <w:t>(3), e12570. https://doi.org/10.1111/desc.12570</w:t>
      </w:r>
    </w:p>
    <w:p>
      <w:pPr>
        <w:jc w:val="left"/>
        <w:spacing w:before="0" w:after="120" w:line="480" w:lineRule="auto"/>
      </w:pPr>
      <w:r>
        <w:rPr>
          <w:rFonts w:ascii="Times New Roman" w:hAnsi="Times New Roman"/>
          <w:b w:val="0"/>
          <w:i w:val="0"/>
          <w:sz w:val="24"/>
        </w:rPr>
        <w:t xml:space="preserve">Davies, P. L., Segalowitz, S. J., &amp; Gavin, W. J. (2004). Development of response-monitoring ERPs in 7- to 25-year-olds. </w:t>
      </w:r>
      <w:r>
        <w:rPr>
          <w:rFonts w:ascii="Times New Roman" w:hAnsi="Times New Roman"/>
          <w:b w:val="0"/>
          <w:i/>
          <w:sz w:val="24"/>
        </w:rPr>
        <w:t>Developmental Neuropsychology</w:t>
      </w:r>
      <w:r>
        <w:rPr>
          <w:rFonts w:ascii="Times New Roman" w:hAnsi="Times New Roman"/>
          <w:b w:val="0"/>
          <w:i w:val="0"/>
          <w:sz w:val="24"/>
        </w:rPr>
        <w:t xml:space="preserve">, </w:t>
      </w:r>
      <w:r>
        <w:rPr>
          <w:rFonts w:ascii="Times New Roman" w:hAnsi="Times New Roman"/>
          <w:b w:val="0"/>
          <w:i/>
          <w:sz w:val="24"/>
        </w:rPr>
        <w:t>25</w:t>
      </w:r>
      <w:r>
        <w:rPr>
          <w:rFonts w:ascii="Times New Roman" w:hAnsi="Times New Roman"/>
          <w:b w:val="0"/>
          <w:i w:val="0"/>
          <w:sz w:val="24"/>
        </w:rPr>
        <w:t>(3), 355–376. https://doi.org/10.1207/s15326942dn2503_6</w:t>
      </w:r>
    </w:p>
    <w:p>
      <w:pPr>
        <w:jc w:val="left"/>
        <w:spacing w:before="0" w:after="120" w:line="480" w:lineRule="auto"/>
      </w:pPr>
      <w:r>
        <w:rPr>
          <w:rFonts w:ascii="Times New Roman" w:hAnsi="Times New Roman"/>
          <w:b w:val="0"/>
          <w:i w:val="0"/>
          <w:sz w:val="24"/>
        </w:rPr>
        <w:t xml:space="preserve">Davis-Kean, P. E. (2005). The influence of parent education and family income on child achievement: The indirect role of parental expectations and the home environment. </w:t>
      </w:r>
      <w:r>
        <w:rPr>
          <w:rFonts w:ascii="Times New Roman" w:hAnsi="Times New Roman"/>
          <w:b w:val="0"/>
          <w:i/>
          <w:sz w:val="24"/>
        </w:rPr>
        <w:t>Journal of Family Psychology</w:t>
      </w:r>
      <w:r>
        <w:rPr>
          <w:rFonts w:ascii="Times New Roman" w:hAnsi="Times New Roman"/>
          <w:b w:val="0"/>
          <w:i w:val="0"/>
          <w:sz w:val="24"/>
        </w:rPr>
        <w:t xml:space="preserve">, </w:t>
      </w:r>
      <w:r>
        <w:rPr>
          <w:rFonts w:ascii="Times New Roman" w:hAnsi="Times New Roman"/>
          <w:b w:val="0"/>
          <w:i/>
          <w:sz w:val="24"/>
        </w:rPr>
        <w:t>19</w:t>
      </w:r>
      <w:r>
        <w:rPr>
          <w:rFonts w:ascii="Times New Roman" w:hAnsi="Times New Roman"/>
          <w:b w:val="0"/>
          <w:i w:val="0"/>
          <w:sz w:val="24"/>
        </w:rPr>
        <w:t>(2), 294–304. https://doi.org/10.1037/0893-3200.19.2.294</w:t>
      </w:r>
    </w:p>
    <w:p>
      <w:pPr>
        <w:jc w:val="left"/>
        <w:spacing w:before="0" w:after="120" w:line="480" w:lineRule="auto"/>
      </w:pPr>
      <w:r>
        <w:rPr>
          <w:rFonts w:ascii="Times New Roman" w:hAnsi="Times New Roman"/>
          <w:b w:val="0"/>
          <w:i w:val="0"/>
          <w:sz w:val="24"/>
        </w:rPr>
        <w:t xml:space="preserve">Demir-Lira, Ö. E., Prado, J., &amp; Booth, J. R. (2021). Neurocognitive basis of deductive reasoning in children varies with parental education. </w:t>
      </w:r>
      <w:r>
        <w:rPr>
          <w:rFonts w:ascii="Times New Roman" w:hAnsi="Times New Roman"/>
          <w:b w:val="0"/>
          <w:i/>
          <w:sz w:val="24"/>
        </w:rPr>
        <w:t>Human Brain Mapping</w:t>
      </w:r>
      <w:r>
        <w:rPr>
          <w:rFonts w:ascii="Times New Roman" w:hAnsi="Times New Roman"/>
          <w:b w:val="0"/>
          <w:i w:val="0"/>
          <w:sz w:val="24"/>
        </w:rPr>
        <w:t xml:space="preserve">, </w:t>
      </w:r>
      <w:r>
        <w:rPr>
          <w:rFonts w:ascii="Times New Roman" w:hAnsi="Times New Roman"/>
          <w:b w:val="0"/>
          <w:i/>
          <w:sz w:val="24"/>
        </w:rPr>
        <w:t>42</w:t>
      </w:r>
      <w:r>
        <w:rPr>
          <w:rFonts w:ascii="Times New Roman" w:hAnsi="Times New Roman"/>
          <w:b w:val="0"/>
          <w:i w:val="0"/>
          <w:sz w:val="24"/>
        </w:rPr>
        <w:t>(11), 3396–3410. https://doi.org/10.1002/hbm.25441</w:t>
      </w:r>
    </w:p>
    <w:p>
      <w:pPr>
        <w:jc w:val="left"/>
        <w:spacing w:before="0" w:after="120" w:line="480" w:lineRule="auto"/>
      </w:pPr>
      <w:r>
        <w:rPr>
          <w:rFonts w:ascii="Times New Roman" w:hAnsi="Times New Roman"/>
          <w:b w:val="0"/>
          <w:i w:val="0"/>
          <w:sz w:val="24"/>
        </w:rPr>
        <w:t xml:space="preserve">Diamond, A. (2013). Executive functions. </w:t>
      </w:r>
      <w:r>
        <w:rPr>
          <w:rFonts w:ascii="Times New Roman" w:hAnsi="Times New Roman"/>
          <w:b w:val="0"/>
          <w:i/>
          <w:sz w:val="24"/>
        </w:rPr>
        <w:t>Annual Review of Psychology</w:t>
      </w:r>
      <w:r>
        <w:rPr>
          <w:rFonts w:ascii="Times New Roman" w:hAnsi="Times New Roman"/>
          <w:b w:val="0"/>
          <w:i w:val="0"/>
          <w:sz w:val="24"/>
        </w:rPr>
        <w:t xml:space="preserve">, </w:t>
      </w:r>
      <w:r>
        <w:rPr>
          <w:rFonts w:ascii="Times New Roman" w:hAnsi="Times New Roman"/>
          <w:b w:val="0"/>
          <w:i/>
          <w:sz w:val="24"/>
        </w:rPr>
        <w:t>64</w:t>
      </w:r>
      <w:r>
        <w:rPr>
          <w:rFonts w:ascii="Times New Roman" w:hAnsi="Times New Roman"/>
          <w:b w:val="0"/>
          <w:i w:val="0"/>
          <w:sz w:val="24"/>
        </w:rPr>
        <w:t>, 135–168. https://doi.org/10.1146/annurev-psych-113011-143750</w:t>
      </w:r>
    </w:p>
    <w:p>
      <w:pPr>
        <w:jc w:val="left"/>
        <w:spacing w:before="0" w:after="120" w:line="480" w:lineRule="auto"/>
      </w:pPr>
      <w:r>
        <w:rPr>
          <w:rFonts w:ascii="Times New Roman" w:hAnsi="Times New Roman"/>
          <w:b w:val="0"/>
          <w:i w:val="0"/>
          <w:sz w:val="24"/>
        </w:rPr>
        <w:t xml:space="preserve">Duncan, G. J., &amp; Magnuson, K. (2012). Socioeconomic status and cognitive functioning: Moving from correlation to causation. </w:t>
      </w:r>
      <w:r>
        <w:rPr>
          <w:rFonts w:ascii="Times New Roman" w:hAnsi="Times New Roman"/>
          <w:b w:val="0"/>
          <w:i/>
          <w:sz w:val="24"/>
        </w:rPr>
        <w:t>WIREs Cognitive Science</w:t>
      </w:r>
      <w:r>
        <w:rPr>
          <w:rFonts w:ascii="Times New Roman" w:hAnsi="Times New Roman"/>
          <w:b w:val="0"/>
          <w:i w:val="0"/>
          <w:sz w:val="24"/>
        </w:rPr>
        <w:t xml:space="preserve">, </w:t>
      </w:r>
      <w:r>
        <w:rPr>
          <w:rFonts w:ascii="Times New Roman" w:hAnsi="Times New Roman"/>
          <w:b w:val="0"/>
          <w:i/>
          <w:sz w:val="24"/>
        </w:rPr>
        <w:t>3</w:t>
      </w:r>
      <w:r>
        <w:rPr>
          <w:rFonts w:ascii="Times New Roman" w:hAnsi="Times New Roman"/>
          <w:b w:val="0"/>
          <w:i w:val="0"/>
          <w:sz w:val="24"/>
        </w:rPr>
        <w:t>(4), 377–386. https://doi.org/10.1002/wcs.1185</w:t>
      </w:r>
    </w:p>
    <w:p>
      <w:pPr>
        <w:jc w:val="left"/>
        <w:spacing w:before="0" w:after="120" w:line="480" w:lineRule="auto"/>
      </w:pPr>
      <w:r>
        <w:rPr>
          <w:rFonts w:ascii="Times New Roman" w:hAnsi="Times New Roman"/>
          <w:b w:val="0"/>
          <w:i w:val="0"/>
          <w:sz w:val="24"/>
        </w:rPr>
        <w:t xml:space="preserve">Friederici, A. D. (2016). The ontogeny of the cortical language network. </w:t>
      </w:r>
      <w:r>
        <w:rPr>
          <w:rFonts w:ascii="Times New Roman" w:hAnsi="Times New Roman"/>
          <w:b w:val="0"/>
          <w:i/>
          <w:sz w:val="24"/>
        </w:rPr>
        <w:t>Nature Reviews Neuroscience</w:t>
      </w:r>
      <w:r>
        <w:rPr>
          <w:rFonts w:ascii="Times New Roman" w:hAnsi="Times New Roman"/>
          <w:b w:val="0"/>
          <w:i w:val="0"/>
          <w:sz w:val="24"/>
        </w:rPr>
        <w:t xml:space="preserve">, </w:t>
      </w:r>
      <w:r>
        <w:rPr>
          <w:rFonts w:ascii="Times New Roman" w:hAnsi="Times New Roman"/>
          <w:b w:val="0"/>
          <w:i/>
          <w:sz w:val="24"/>
        </w:rPr>
        <w:t>17</w:t>
      </w:r>
      <w:r>
        <w:rPr>
          <w:rFonts w:ascii="Times New Roman" w:hAnsi="Times New Roman"/>
          <w:b w:val="0"/>
          <w:i w:val="0"/>
          <w:sz w:val="24"/>
        </w:rPr>
        <w:t>(5), 323–332. https://doi.org/10.1038/nrn.2016.23</w:t>
      </w:r>
    </w:p>
    <w:p>
      <w:pPr>
        <w:jc w:val="left"/>
        <w:spacing w:before="0" w:after="120" w:line="480" w:lineRule="auto"/>
      </w:pPr>
      <w:r>
        <w:rPr>
          <w:rFonts w:ascii="Times New Roman" w:hAnsi="Times New Roman"/>
          <w:b w:val="0"/>
          <w:i w:val="0"/>
          <w:sz w:val="24"/>
        </w:rPr>
        <w:t xml:space="preserve">Gee, D. G., Gabard-Durnam, L. J., Flannery, J., Goff, B., Humphreys, K. L., Telzer, E. H., Hare, T. A., Bookheimer, S. Y., &amp; Tottenham, N. (2013). Early developmental emergence of human amygdala–prefrontal connectivity after maternal deprivation. </w:t>
      </w:r>
      <w:r>
        <w:rPr>
          <w:rFonts w:ascii="Times New Roman" w:hAnsi="Times New Roman"/>
          <w:b w:val="0"/>
          <w:i/>
          <w:sz w:val="24"/>
        </w:rPr>
        <w:t>Proceedings of the National Academy of Sciences</w:t>
      </w:r>
      <w:r>
        <w:rPr>
          <w:rFonts w:ascii="Times New Roman" w:hAnsi="Times New Roman"/>
          <w:b w:val="0"/>
          <w:i w:val="0"/>
          <w:sz w:val="24"/>
        </w:rPr>
        <w:t xml:space="preserve">, </w:t>
      </w:r>
      <w:r>
        <w:rPr>
          <w:rFonts w:ascii="Times New Roman" w:hAnsi="Times New Roman"/>
          <w:b w:val="0"/>
          <w:i/>
          <w:sz w:val="24"/>
        </w:rPr>
        <w:t>110</w:t>
      </w:r>
      <w:r>
        <w:rPr>
          <w:rFonts w:ascii="Times New Roman" w:hAnsi="Times New Roman"/>
          <w:b w:val="0"/>
          <w:i w:val="0"/>
          <w:sz w:val="24"/>
        </w:rPr>
        <w:t>(39), 15638–15643. https://doi.org/10.1073/pnas.1307893110</w:t>
      </w:r>
    </w:p>
    <w:p>
      <w:pPr>
        <w:jc w:val="left"/>
        <w:spacing w:before="0" w:after="120" w:line="480" w:lineRule="auto"/>
      </w:pPr>
      <w:r>
        <w:rPr>
          <w:rFonts w:ascii="Times New Roman" w:hAnsi="Times New Roman"/>
          <w:b w:val="0"/>
          <w:i w:val="0"/>
          <w:sz w:val="24"/>
        </w:rPr>
        <w:t xml:space="preserve">Gilkerson, J., Richards, J. A., Warren, S. F., Montgomery, J. K., Greenwood, C. R., Kimbrough Oller, D., Hansen, J. H. L., &amp; Paul, T. D. (2017). Mapping the early language environment using all-day recordings and automated analysis. </w:t>
      </w:r>
      <w:r>
        <w:rPr>
          <w:rFonts w:ascii="Times New Roman" w:hAnsi="Times New Roman"/>
          <w:b w:val="0"/>
          <w:i/>
          <w:sz w:val="24"/>
        </w:rPr>
        <w:t>American Journal of Speech-Language Pathology</w:t>
      </w:r>
      <w:r>
        <w:rPr>
          <w:rFonts w:ascii="Times New Roman" w:hAnsi="Times New Roman"/>
          <w:b w:val="0"/>
          <w:i w:val="0"/>
          <w:sz w:val="24"/>
        </w:rPr>
        <w:t xml:space="preserve">, </w:t>
      </w:r>
      <w:r>
        <w:rPr>
          <w:rFonts w:ascii="Times New Roman" w:hAnsi="Times New Roman"/>
          <w:b w:val="0"/>
          <w:i/>
          <w:sz w:val="24"/>
        </w:rPr>
        <w:t>26</w:t>
      </w:r>
      <w:r>
        <w:rPr>
          <w:rFonts w:ascii="Times New Roman" w:hAnsi="Times New Roman"/>
          <w:b w:val="0"/>
          <w:i w:val="0"/>
          <w:sz w:val="24"/>
        </w:rPr>
        <w:t>(2), 248–265. https://doi.org/10.1044/2016_AJSLP-15-0169</w:t>
      </w:r>
    </w:p>
    <w:p>
      <w:pPr>
        <w:jc w:val="left"/>
        <w:spacing w:before="0" w:after="120" w:line="480" w:lineRule="auto"/>
      </w:pPr>
      <w:r>
        <w:rPr>
          <w:rFonts w:ascii="Times New Roman" w:hAnsi="Times New Roman"/>
          <w:b w:val="0"/>
          <w:i w:val="0"/>
          <w:sz w:val="24"/>
        </w:rPr>
        <w:t xml:space="preserve">Hackman, D. A., &amp; Farah, M. J. (2009). Socioeconomic status and the developing brain. </w:t>
      </w:r>
      <w:r>
        <w:rPr>
          <w:rFonts w:ascii="Times New Roman" w:hAnsi="Times New Roman"/>
          <w:b w:val="0"/>
          <w:i/>
          <w:sz w:val="24"/>
        </w:rPr>
        <w:t>Trends in Cognitive Sciences</w:t>
      </w:r>
      <w:r>
        <w:rPr>
          <w:rFonts w:ascii="Times New Roman" w:hAnsi="Times New Roman"/>
          <w:b w:val="0"/>
          <w:i w:val="0"/>
          <w:sz w:val="24"/>
        </w:rPr>
        <w:t xml:space="preserve">, </w:t>
      </w:r>
      <w:r>
        <w:rPr>
          <w:rFonts w:ascii="Times New Roman" w:hAnsi="Times New Roman"/>
          <w:b w:val="0"/>
          <w:i/>
          <w:sz w:val="24"/>
        </w:rPr>
        <w:t>13</w:t>
      </w:r>
      <w:r>
        <w:rPr>
          <w:rFonts w:ascii="Times New Roman" w:hAnsi="Times New Roman"/>
          <w:b w:val="0"/>
          <w:i w:val="0"/>
          <w:sz w:val="24"/>
        </w:rPr>
        <w:t>(2), 65–73. https://doi.org/10.1016/j.tics.2008.11.003</w:t>
      </w:r>
    </w:p>
    <w:p>
      <w:pPr>
        <w:jc w:val="left"/>
        <w:spacing w:before="0" w:after="120" w:line="480" w:lineRule="auto"/>
      </w:pPr>
      <w:r>
        <w:rPr>
          <w:rFonts w:ascii="Times New Roman" w:hAnsi="Times New Roman"/>
          <w:b w:val="0"/>
          <w:i w:val="0"/>
          <w:sz w:val="24"/>
        </w:rPr>
        <w:t xml:space="preserve">Hackman, D. A., Farah, M. J., &amp; Meaney, M. J. (2010). Socioeconomic status and the brain: Mechanistic insights from human and animal research. </w:t>
      </w:r>
      <w:r>
        <w:rPr>
          <w:rFonts w:ascii="Times New Roman" w:hAnsi="Times New Roman"/>
          <w:b w:val="0"/>
          <w:i/>
          <w:sz w:val="24"/>
        </w:rPr>
        <w:t>Nature Reviews Neuroscience</w:t>
      </w:r>
      <w:r>
        <w:rPr>
          <w:rFonts w:ascii="Times New Roman" w:hAnsi="Times New Roman"/>
          <w:b w:val="0"/>
          <w:i w:val="0"/>
          <w:sz w:val="24"/>
        </w:rPr>
        <w:t xml:space="preserve">, </w:t>
      </w:r>
      <w:r>
        <w:rPr>
          <w:rFonts w:ascii="Times New Roman" w:hAnsi="Times New Roman"/>
          <w:b w:val="0"/>
          <w:i/>
          <w:sz w:val="24"/>
        </w:rPr>
        <w:t>11</w:t>
      </w:r>
      <w:r>
        <w:rPr>
          <w:rFonts w:ascii="Times New Roman" w:hAnsi="Times New Roman"/>
          <w:b w:val="0"/>
          <w:i w:val="0"/>
          <w:sz w:val="24"/>
        </w:rPr>
        <w:t>(9), 651–659. https://doi.org/10.1038/nrn2844</w:t>
      </w:r>
    </w:p>
    <w:p>
      <w:pPr>
        <w:jc w:val="left"/>
        <w:spacing w:before="0" w:after="120" w:line="480" w:lineRule="auto"/>
      </w:pPr>
      <w:r>
        <w:rPr>
          <w:rFonts w:ascii="Times New Roman" w:hAnsi="Times New Roman"/>
          <w:b w:val="0"/>
          <w:i w:val="0"/>
          <w:sz w:val="24"/>
        </w:rPr>
        <w:t xml:space="preserve">Hair, N. L., Hanson, J. L., Wolfe, B. L., &amp; Pollak, S. D. (2015). Association of child poverty, brain development, and academic achievement. </w:t>
      </w:r>
      <w:r>
        <w:rPr>
          <w:rFonts w:ascii="Times New Roman" w:hAnsi="Times New Roman"/>
          <w:b w:val="0"/>
          <w:i/>
          <w:sz w:val="24"/>
        </w:rPr>
        <w:t>JAMA Pediatrics</w:t>
      </w:r>
      <w:r>
        <w:rPr>
          <w:rFonts w:ascii="Times New Roman" w:hAnsi="Times New Roman"/>
          <w:b w:val="0"/>
          <w:i w:val="0"/>
          <w:sz w:val="24"/>
        </w:rPr>
        <w:t xml:space="preserve">, </w:t>
      </w:r>
      <w:r>
        <w:rPr>
          <w:rFonts w:ascii="Times New Roman" w:hAnsi="Times New Roman"/>
          <w:b w:val="0"/>
          <w:i/>
          <w:sz w:val="24"/>
        </w:rPr>
        <w:t>169</w:t>
      </w:r>
      <w:r>
        <w:rPr>
          <w:rFonts w:ascii="Times New Roman" w:hAnsi="Times New Roman"/>
          <w:b w:val="0"/>
          <w:i w:val="0"/>
          <w:sz w:val="24"/>
        </w:rPr>
        <w:t>(9), 822–829. https://doi.org/10.1001/jamapediatrics.2015.1475</w:t>
      </w:r>
    </w:p>
    <w:p>
      <w:pPr>
        <w:jc w:val="left"/>
        <w:spacing w:before="0" w:after="120" w:line="480" w:lineRule="auto"/>
      </w:pPr>
      <w:r>
        <w:rPr>
          <w:rFonts w:ascii="Times New Roman" w:hAnsi="Times New Roman"/>
          <w:b w:val="0"/>
          <w:i w:val="0"/>
          <w:sz w:val="24"/>
        </w:rPr>
        <w:t xml:space="preserve">Hart, B., &amp; Risley, T. R. (1995). </w:t>
      </w:r>
      <w:r>
        <w:rPr>
          <w:rFonts w:ascii="Times New Roman" w:hAnsi="Times New Roman"/>
          <w:b w:val="0"/>
          <w:i/>
          <w:sz w:val="24"/>
        </w:rPr>
        <w:t>Meaningful differences in the everyday experience of young American children</w:t>
      </w:r>
      <w:r>
        <w:rPr>
          <w:rFonts w:ascii="Times New Roman" w:hAnsi="Times New Roman"/>
          <w:b w:val="0"/>
          <w:i w:val="0"/>
          <w:sz w:val="24"/>
        </w:rPr>
        <w:t>. Paul H. Brookes Publishing Co.</w:t>
      </w:r>
    </w:p>
    <w:p>
      <w:pPr>
        <w:jc w:val="left"/>
        <w:spacing w:before="0" w:after="120" w:line="480" w:lineRule="auto"/>
      </w:pPr>
      <w:r>
        <w:rPr>
          <w:rFonts w:ascii="Times New Roman" w:hAnsi="Times New Roman"/>
          <w:b w:val="0"/>
          <w:i w:val="0"/>
          <w:sz w:val="24"/>
        </w:rPr>
        <w:t xml:space="preserve">Hoff, E. (2003). The specificity of environmental influence: Socioeconomic status affects early vocabulary development via maternal speech. </w:t>
      </w:r>
      <w:r>
        <w:rPr>
          <w:rFonts w:ascii="Times New Roman" w:hAnsi="Times New Roman"/>
          <w:b w:val="0"/>
          <w:i/>
          <w:sz w:val="24"/>
        </w:rPr>
        <w:t>Child Development</w:t>
      </w:r>
      <w:r>
        <w:rPr>
          <w:rFonts w:ascii="Times New Roman" w:hAnsi="Times New Roman"/>
          <w:b w:val="0"/>
          <w:i w:val="0"/>
          <w:sz w:val="24"/>
        </w:rPr>
        <w:t xml:space="preserve">, </w:t>
      </w:r>
      <w:r>
        <w:rPr>
          <w:rFonts w:ascii="Times New Roman" w:hAnsi="Times New Roman"/>
          <w:b w:val="0"/>
          <w:i/>
          <w:sz w:val="24"/>
        </w:rPr>
        <w:t>74</w:t>
      </w:r>
      <w:r>
        <w:rPr>
          <w:rFonts w:ascii="Times New Roman" w:hAnsi="Times New Roman"/>
          <w:b w:val="0"/>
          <w:i w:val="0"/>
          <w:sz w:val="24"/>
        </w:rPr>
        <w:t>(5), 1368–1378. https://doi.org/10.1111/1467-8624.00612</w:t>
      </w:r>
    </w:p>
    <w:p>
      <w:pPr>
        <w:jc w:val="left"/>
        <w:spacing w:before="0" w:after="120" w:line="480" w:lineRule="auto"/>
      </w:pPr>
      <w:r>
        <w:rPr>
          <w:rFonts w:ascii="Times New Roman" w:hAnsi="Times New Roman"/>
          <w:b w:val="0"/>
          <w:i w:val="0"/>
          <w:sz w:val="24"/>
        </w:rPr>
        <w:t xml:space="preserve">Hoff, E. (2013). Interpreting the early language trajectories of children from low-SES and language minority homes: Implications for closing achievement gaps. </w:t>
      </w:r>
      <w:r>
        <w:rPr>
          <w:rFonts w:ascii="Times New Roman" w:hAnsi="Times New Roman"/>
          <w:b w:val="0"/>
          <w:i/>
          <w:sz w:val="24"/>
        </w:rPr>
        <w:t>Developmental Psychology</w:t>
      </w:r>
      <w:r>
        <w:rPr>
          <w:rFonts w:ascii="Times New Roman" w:hAnsi="Times New Roman"/>
          <w:b w:val="0"/>
          <w:i w:val="0"/>
          <w:sz w:val="24"/>
        </w:rPr>
        <w:t xml:space="preserve">, </w:t>
      </w:r>
      <w:r>
        <w:rPr>
          <w:rFonts w:ascii="Times New Roman" w:hAnsi="Times New Roman"/>
          <w:b w:val="0"/>
          <w:i/>
          <w:sz w:val="24"/>
        </w:rPr>
        <w:t>49</w:t>
      </w:r>
      <w:r>
        <w:rPr>
          <w:rFonts w:ascii="Times New Roman" w:hAnsi="Times New Roman"/>
          <w:b w:val="0"/>
          <w:i w:val="0"/>
          <w:sz w:val="24"/>
        </w:rPr>
        <w:t>(1), 4–14. https://doi.org/10.1037/a0030612</w:t>
      </w:r>
    </w:p>
    <w:p>
      <w:pPr>
        <w:jc w:val="left"/>
        <w:spacing w:before="0" w:after="120" w:line="480" w:lineRule="auto"/>
      </w:pPr>
      <w:r>
        <w:rPr>
          <w:rFonts w:ascii="Times New Roman" w:hAnsi="Times New Roman"/>
          <w:b w:val="0"/>
          <w:i w:val="0"/>
          <w:sz w:val="24"/>
        </w:rPr>
        <w:t xml:space="preserve">Huttenlocher, P. R., &amp; Dabholkar, A. S. (1997). Regional differences in synaptogenesis in human cerebral cortex. </w:t>
      </w:r>
      <w:r>
        <w:rPr>
          <w:rFonts w:ascii="Times New Roman" w:hAnsi="Times New Roman"/>
          <w:b w:val="0"/>
          <w:i/>
          <w:sz w:val="24"/>
        </w:rPr>
        <w:t>Journal of Comparative Neurology</w:t>
      </w:r>
      <w:r>
        <w:rPr>
          <w:rFonts w:ascii="Times New Roman" w:hAnsi="Times New Roman"/>
          <w:b w:val="0"/>
          <w:i w:val="0"/>
          <w:sz w:val="24"/>
        </w:rPr>
        <w:t xml:space="preserve">, </w:t>
      </w:r>
      <w:r>
        <w:rPr>
          <w:rFonts w:ascii="Times New Roman" w:hAnsi="Times New Roman"/>
          <w:b w:val="0"/>
          <w:i/>
          <w:sz w:val="24"/>
        </w:rPr>
        <w:t>387</w:t>
      </w:r>
      <w:r>
        <w:rPr>
          <w:rFonts w:ascii="Times New Roman" w:hAnsi="Times New Roman"/>
          <w:b w:val="0"/>
          <w:i w:val="0"/>
          <w:sz w:val="24"/>
        </w:rPr>
        <w:t>(2), 167–178. https://doi.org/10.1002/(SICI)1096-9861(19971020)387:2&lt;167::AID-CNE1&gt;3.0.CO;2-Z</w:t>
      </w:r>
    </w:p>
    <w:p>
      <w:pPr>
        <w:jc w:val="left"/>
        <w:spacing w:before="0" w:after="120" w:line="480" w:lineRule="auto"/>
      </w:pPr>
      <w:r>
        <w:rPr>
          <w:rFonts w:ascii="Times New Roman" w:hAnsi="Times New Roman"/>
          <w:b w:val="0"/>
          <w:i w:val="0"/>
          <w:sz w:val="24"/>
        </w:rPr>
        <w:t xml:space="preserve">Knickmeyer, R. C., Gouttard, S., Kang, C., Evans, D., Wilber, K., Smith, J. K., Hamer, R. M., Lin, W., Gerig, G., &amp; Gilmore, J. H. (2008). A structural MRI study of human brain development from birth to 2 years. </w:t>
      </w:r>
      <w:r>
        <w:rPr>
          <w:rFonts w:ascii="Times New Roman" w:hAnsi="Times New Roman"/>
          <w:b w:val="0"/>
          <w:i/>
          <w:sz w:val="24"/>
        </w:rPr>
        <w:t>Journal of Neuroscience</w:t>
      </w:r>
      <w:r>
        <w:rPr>
          <w:rFonts w:ascii="Times New Roman" w:hAnsi="Times New Roman"/>
          <w:b w:val="0"/>
          <w:i w:val="0"/>
          <w:sz w:val="24"/>
        </w:rPr>
        <w:t xml:space="preserve">, </w:t>
      </w:r>
      <w:r>
        <w:rPr>
          <w:rFonts w:ascii="Times New Roman" w:hAnsi="Times New Roman"/>
          <w:b w:val="0"/>
          <w:i/>
          <w:sz w:val="24"/>
        </w:rPr>
        <w:t>28</w:t>
      </w:r>
      <w:r>
        <w:rPr>
          <w:rFonts w:ascii="Times New Roman" w:hAnsi="Times New Roman"/>
          <w:b w:val="0"/>
          <w:i w:val="0"/>
          <w:sz w:val="24"/>
        </w:rPr>
        <w:t>(47), 12176–12182. https://doi.org/10.1523/JNEUROSCI.3479-08.2008</w:t>
      </w:r>
    </w:p>
    <w:p>
      <w:pPr>
        <w:jc w:val="left"/>
        <w:spacing w:before="0" w:after="120" w:line="480" w:lineRule="auto"/>
      </w:pPr>
      <w:r>
        <w:rPr>
          <w:rFonts w:ascii="Times New Roman" w:hAnsi="Times New Roman"/>
          <w:b w:val="0"/>
          <w:i w:val="0"/>
          <w:sz w:val="24"/>
        </w:rPr>
        <w:t xml:space="preserve">Knudsen, E. I., Heckman, J. J., Cameron, J. L., &amp; Shonkoff, J. P. (2006). Economic, neurobiological, and behavioral perspectives on building America's future workforce. </w:t>
      </w:r>
      <w:r>
        <w:rPr>
          <w:rFonts w:ascii="Times New Roman" w:hAnsi="Times New Roman"/>
          <w:b w:val="0"/>
          <w:i/>
          <w:sz w:val="24"/>
        </w:rPr>
        <w:t>Proceedings of the National Academy of Sciences</w:t>
      </w:r>
      <w:r>
        <w:rPr>
          <w:rFonts w:ascii="Times New Roman" w:hAnsi="Times New Roman"/>
          <w:b w:val="0"/>
          <w:i w:val="0"/>
          <w:sz w:val="24"/>
        </w:rPr>
        <w:t xml:space="preserve">, </w:t>
      </w:r>
      <w:r>
        <w:rPr>
          <w:rFonts w:ascii="Times New Roman" w:hAnsi="Times New Roman"/>
          <w:b w:val="0"/>
          <w:i/>
          <w:sz w:val="24"/>
        </w:rPr>
        <w:t>103</w:t>
      </w:r>
      <w:r>
        <w:rPr>
          <w:rFonts w:ascii="Times New Roman" w:hAnsi="Times New Roman"/>
          <w:b w:val="0"/>
          <w:i w:val="0"/>
          <w:sz w:val="24"/>
        </w:rPr>
        <w:t>(27), 10155–10162. https://doi.org/10.1073/pnas.0600888103</w:t>
      </w:r>
    </w:p>
    <w:p>
      <w:pPr>
        <w:jc w:val="left"/>
        <w:spacing w:before="0" w:after="120" w:line="480" w:lineRule="auto"/>
      </w:pPr>
      <w:r>
        <w:rPr>
          <w:rFonts w:ascii="Times New Roman" w:hAnsi="Times New Roman"/>
          <w:b w:val="0"/>
          <w:i w:val="0"/>
          <w:sz w:val="24"/>
        </w:rPr>
        <w:t xml:space="preserve">Konrad, J., Guo, T., Ufkes, S., Selvanathan, T., Sheng, M., Al-Ajmi, E., Branson, H. M., Chau, V., Ly, L. G., Kelly, E. N., Grunau, R. E., &amp; Miller, S. P. (2024). Socioeconomic status moderates associations between hippocampal development and cognition in preterms. </w:t>
      </w:r>
      <w:r>
        <w:rPr>
          <w:rFonts w:ascii="Times New Roman" w:hAnsi="Times New Roman"/>
          <w:b w:val="0"/>
          <w:i/>
          <w:sz w:val="24"/>
        </w:rPr>
        <w:t>Annals of Clinical and Translational Neurology</w:t>
      </w:r>
      <w:r>
        <w:rPr>
          <w:rFonts w:ascii="Times New Roman" w:hAnsi="Times New Roman"/>
          <w:b w:val="0"/>
          <w:i w:val="0"/>
          <w:sz w:val="24"/>
        </w:rPr>
        <w:t xml:space="preserve">, </w:t>
      </w:r>
      <w:r>
        <w:rPr>
          <w:rFonts w:ascii="Times New Roman" w:hAnsi="Times New Roman"/>
          <w:b w:val="0"/>
          <w:i/>
          <w:sz w:val="24"/>
        </w:rPr>
        <w:t>11</w:t>
      </w:r>
      <w:r>
        <w:rPr>
          <w:rFonts w:ascii="Times New Roman" w:hAnsi="Times New Roman"/>
          <w:b w:val="0"/>
          <w:i w:val="0"/>
          <w:sz w:val="24"/>
        </w:rPr>
        <w:t>(9), 2499–2513. https://doi.org/10.1002/acn3.52168</w:t>
      </w:r>
    </w:p>
    <w:p>
      <w:pPr>
        <w:jc w:val="left"/>
        <w:spacing w:before="0" w:after="120" w:line="480" w:lineRule="auto"/>
      </w:pPr>
      <w:r>
        <w:rPr>
          <w:rFonts w:ascii="Times New Roman" w:hAnsi="Times New Roman"/>
          <w:b w:val="0"/>
          <w:i w:val="0"/>
          <w:sz w:val="24"/>
        </w:rPr>
        <w:t xml:space="preserve">Lange, N., Froimowitz, M. P., Bigler, E. D., &amp; Lainhart, J. E. (2010). Associations between IQ, total and regional brain volumes, and demography in a large normative sample of healthy children and adolescents. </w:t>
      </w:r>
      <w:r>
        <w:rPr>
          <w:rFonts w:ascii="Times New Roman" w:hAnsi="Times New Roman"/>
          <w:b w:val="0"/>
          <w:i/>
          <w:sz w:val="24"/>
        </w:rPr>
        <w:t>Developmental Neuropsychology</w:t>
      </w:r>
      <w:r>
        <w:rPr>
          <w:rFonts w:ascii="Times New Roman" w:hAnsi="Times New Roman"/>
          <w:b w:val="0"/>
          <w:i w:val="0"/>
          <w:sz w:val="24"/>
        </w:rPr>
        <w:t xml:space="preserve">, </w:t>
      </w:r>
      <w:r>
        <w:rPr>
          <w:rFonts w:ascii="Times New Roman" w:hAnsi="Times New Roman"/>
          <w:b w:val="0"/>
          <w:i/>
          <w:sz w:val="24"/>
        </w:rPr>
        <w:t>35</w:t>
      </w:r>
      <w:r>
        <w:rPr>
          <w:rFonts w:ascii="Times New Roman" w:hAnsi="Times New Roman"/>
          <w:b w:val="0"/>
          <w:i w:val="0"/>
          <w:sz w:val="24"/>
        </w:rPr>
        <w:t>(3), 296–317. https://doi.org/10.1080/87565641003696833</w:t>
      </w:r>
    </w:p>
    <w:p>
      <w:pPr>
        <w:jc w:val="left"/>
        <w:spacing w:before="0" w:after="120" w:line="480" w:lineRule="auto"/>
      </w:pPr>
      <w:r>
        <w:rPr>
          <w:rFonts w:ascii="Times New Roman" w:hAnsi="Times New Roman"/>
          <w:b w:val="0"/>
          <w:i w:val="0"/>
          <w:sz w:val="24"/>
        </w:rPr>
        <w:t xml:space="preserve">Lupien, S. J., McEwen, B. S., Gunnar, M. R., &amp; Heim, C. (2009). Effects of stress throughout the lifespan on the brain, behaviour and cognition. </w:t>
      </w:r>
      <w:r>
        <w:rPr>
          <w:rFonts w:ascii="Times New Roman" w:hAnsi="Times New Roman"/>
          <w:b w:val="0"/>
          <w:i/>
          <w:sz w:val="24"/>
        </w:rPr>
        <w:t>Nature Reviews Neuroscience</w:t>
      </w:r>
      <w:r>
        <w:rPr>
          <w:rFonts w:ascii="Times New Roman" w:hAnsi="Times New Roman"/>
          <w:b w:val="0"/>
          <w:i w:val="0"/>
          <w:sz w:val="24"/>
        </w:rPr>
        <w:t xml:space="preserve">, </w:t>
      </w:r>
      <w:r>
        <w:rPr>
          <w:rFonts w:ascii="Times New Roman" w:hAnsi="Times New Roman"/>
          <w:b w:val="0"/>
          <w:i/>
          <w:sz w:val="24"/>
        </w:rPr>
        <w:t>10</w:t>
      </w:r>
      <w:r>
        <w:rPr>
          <w:rFonts w:ascii="Times New Roman" w:hAnsi="Times New Roman"/>
          <w:b w:val="0"/>
          <w:i w:val="0"/>
          <w:sz w:val="24"/>
        </w:rPr>
        <w:t>(6), 434–445. https://doi.org/10.1038/nrn2639</w:t>
      </w:r>
    </w:p>
    <w:p>
      <w:pPr>
        <w:jc w:val="left"/>
        <w:spacing w:before="0" w:after="120" w:line="480" w:lineRule="auto"/>
      </w:pPr>
      <w:r>
        <w:rPr>
          <w:rFonts w:ascii="Times New Roman" w:hAnsi="Times New Roman"/>
          <w:b w:val="0"/>
          <w:i w:val="0"/>
          <w:sz w:val="24"/>
        </w:rPr>
        <w:t xml:space="preserve">Maguire, M. J., &amp; Schneider, J. M. (2019). Socioeconomic status related differences in resting state EEG activity correspond to differences in vocabulary and working memory in grade school. </w:t>
      </w:r>
      <w:r>
        <w:rPr>
          <w:rFonts w:ascii="Times New Roman" w:hAnsi="Times New Roman"/>
          <w:b w:val="0"/>
          <w:i/>
          <w:sz w:val="24"/>
        </w:rPr>
        <w:t>Brain and Cognition</w:t>
      </w:r>
      <w:r>
        <w:rPr>
          <w:rFonts w:ascii="Times New Roman" w:hAnsi="Times New Roman"/>
          <w:b w:val="0"/>
          <w:i w:val="0"/>
          <w:sz w:val="24"/>
        </w:rPr>
        <w:t xml:space="preserve">, </w:t>
      </w:r>
      <w:r>
        <w:rPr>
          <w:rFonts w:ascii="Times New Roman" w:hAnsi="Times New Roman"/>
          <w:b w:val="0"/>
          <w:i/>
          <w:sz w:val="24"/>
        </w:rPr>
        <w:t>137</w:t>
      </w:r>
      <w:r>
        <w:rPr>
          <w:rFonts w:ascii="Times New Roman" w:hAnsi="Times New Roman"/>
          <w:b w:val="0"/>
          <w:i w:val="0"/>
          <w:sz w:val="24"/>
        </w:rPr>
        <w:t>, Article 103619. https://doi.org/10.1016/j.bandc.2019.103619</w:t>
      </w:r>
    </w:p>
    <w:p>
      <w:pPr>
        <w:jc w:val="left"/>
        <w:spacing w:before="0" w:after="120" w:line="480" w:lineRule="auto"/>
      </w:pPr>
      <w:r>
        <w:rPr>
          <w:rFonts w:ascii="Times New Roman" w:hAnsi="Times New Roman"/>
          <w:b w:val="0"/>
          <w:i w:val="0"/>
          <w:sz w:val="24"/>
        </w:rPr>
        <w:t xml:space="preserve">Marshall, P. J., &amp; Meltzoff, A. N. (2014). Neural mirroring mechanisms and imitation in human infants. </w:t>
      </w:r>
      <w:r>
        <w:rPr>
          <w:rFonts w:ascii="Times New Roman" w:hAnsi="Times New Roman"/>
          <w:b w:val="0"/>
          <w:i/>
          <w:sz w:val="24"/>
        </w:rPr>
        <w:t>Philosophical Transactions of the Royal Society B: Biological Sciences</w:t>
      </w:r>
      <w:r>
        <w:rPr>
          <w:rFonts w:ascii="Times New Roman" w:hAnsi="Times New Roman"/>
          <w:b w:val="0"/>
          <w:i w:val="0"/>
          <w:sz w:val="24"/>
        </w:rPr>
        <w:t xml:space="preserve">, </w:t>
      </w:r>
      <w:r>
        <w:rPr>
          <w:rFonts w:ascii="Times New Roman" w:hAnsi="Times New Roman"/>
          <w:b w:val="0"/>
          <w:i/>
          <w:sz w:val="24"/>
        </w:rPr>
        <w:t>369</w:t>
      </w:r>
      <w:r>
        <w:rPr>
          <w:rFonts w:ascii="Times New Roman" w:hAnsi="Times New Roman"/>
          <w:b w:val="0"/>
          <w:i w:val="0"/>
          <w:sz w:val="24"/>
        </w:rPr>
        <w:t>(1644), Article 20130620. https://doi.org/10.1098/rstb.2013.0620</w:t>
      </w:r>
    </w:p>
    <w:p>
      <w:pPr>
        <w:jc w:val="left"/>
        <w:spacing w:before="0" w:after="120" w:line="480" w:lineRule="auto"/>
      </w:pPr>
      <w:r>
        <w:rPr>
          <w:rFonts w:ascii="Times New Roman" w:hAnsi="Times New Roman"/>
          <w:b w:val="0"/>
          <w:i w:val="0"/>
          <w:sz w:val="24"/>
        </w:rPr>
        <w:t xml:space="preserve">McEwen, B. S., &amp; Gianaros, P. J. (2010). Central role of the brain in stress and adaptation: Links to socioeconomic status, health, and disease. </w:t>
      </w:r>
      <w:r>
        <w:rPr>
          <w:rFonts w:ascii="Times New Roman" w:hAnsi="Times New Roman"/>
          <w:b w:val="0"/>
          <w:i/>
          <w:sz w:val="24"/>
        </w:rPr>
        <w:t>Annals of the New York Academy of Sciences</w:t>
      </w:r>
      <w:r>
        <w:rPr>
          <w:rFonts w:ascii="Times New Roman" w:hAnsi="Times New Roman"/>
          <w:b w:val="0"/>
          <w:i w:val="0"/>
          <w:sz w:val="24"/>
        </w:rPr>
        <w:t xml:space="preserve">, </w:t>
      </w:r>
      <w:r>
        <w:rPr>
          <w:rFonts w:ascii="Times New Roman" w:hAnsi="Times New Roman"/>
          <w:b w:val="0"/>
          <w:i/>
          <w:sz w:val="24"/>
        </w:rPr>
        <w:t>1186</w:t>
      </w:r>
      <w:r>
        <w:rPr>
          <w:rFonts w:ascii="Times New Roman" w:hAnsi="Times New Roman"/>
          <w:b w:val="0"/>
          <w:i w:val="0"/>
          <w:sz w:val="24"/>
        </w:rPr>
        <w:t>, 190–222. https://doi.org/10.1111/j.1749-6632.2009.05437.x</w:t>
      </w:r>
    </w:p>
    <w:p>
      <w:pPr>
        <w:jc w:val="left"/>
        <w:spacing w:before="0" w:after="120" w:line="480" w:lineRule="auto"/>
      </w:pPr>
      <w:r>
        <w:rPr>
          <w:rFonts w:ascii="Times New Roman" w:hAnsi="Times New Roman"/>
          <w:b w:val="0"/>
          <w:i w:val="0"/>
          <w:sz w:val="24"/>
        </w:rPr>
        <w:t xml:space="preserve">McKinnon, K., Galdi, P., Blesa-Cábez, M., Sullivan, G., Vaher, K., Corrigan, A., Hall, J., Jiménez-Sánchez, L., Thrippleton, M., Bastin, M. E., Quigley, A. J., Valavani, E., Tsanas, A., Richardson, H., &amp; Boardman, J. P. (2023). Association of preterm birth and socioeconomic status with neonatal brain structure. </w:t>
      </w:r>
      <w:r>
        <w:rPr>
          <w:rFonts w:ascii="Times New Roman" w:hAnsi="Times New Roman"/>
          <w:b w:val="0"/>
          <w:i/>
          <w:sz w:val="24"/>
        </w:rPr>
        <w:t>JAMA Pediatrics</w:t>
      </w:r>
      <w:r>
        <w:rPr>
          <w:rFonts w:ascii="Times New Roman" w:hAnsi="Times New Roman"/>
          <w:b w:val="0"/>
          <w:i w:val="0"/>
          <w:sz w:val="24"/>
        </w:rPr>
        <w:t xml:space="preserve">, </w:t>
      </w:r>
      <w:r>
        <w:rPr>
          <w:rFonts w:ascii="Times New Roman" w:hAnsi="Times New Roman"/>
          <w:b w:val="0"/>
          <w:i/>
          <w:sz w:val="24"/>
        </w:rPr>
        <w:t>177</w:t>
      </w:r>
      <w:r>
        <w:rPr>
          <w:rFonts w:ascii="Times New Roman" w:hAnsi="Times New Roman"/>
          <w:b w:val="0"/>
          <w:i w:val="0"/>
          <w:sz w:val="24"/>
        </w:rPr>
        <w:t>(4), 380–389. https://doi.org/10.1001/jamapediatrics.2022.5847</w:t>
      </w:r>
    </w:p>
    <w:p>
      <w:pPr>
        <w:jc w:val="left"/>
        <w:spacing w:before="0" w:after="120" w:line="480" w:lineRule="auto"/>
      </w:pPr>
      <w:r>
        <w:rPr>
          <w:rFonts w:ascii="Times New Roman" w:hAnsi="Times New Roman"/>
          <w:b w:val="0"/>
          <w:i w:val="0"/>
          <w:sz w:val="24"/>
        </w:rPr>
        <w:t xml:space="preserve">Monk, C., Georgieff, M. K., &amp; Osterholm, E. A. (2013). Research review: Maternal prenatal distress and poor nutrition—Mutually influencing risk factors affecting infant neurocognitive development. </w:t>
      </w:r>
      <w:r>
        <w:rPr>
          <w:rFonts w:ascii="Times New Roman" w:hAnsi="Times New Roman"/>
          <w:b w:val="0"/>
          <w:i/>
          <w:sz w:val="24"/>
        </w:rPr>
        <w:t>Journal of Child Psychology and Psychiatry</w:t>
      </w:r>
      <w:r>
        <w:rPr>
          <w:rFonts w:ascii="Times New Roman" w:hAnsi="Times New Roman"/>
          <w:b w:val="0"/>
          <w:i w:val="0"/>
          <w:sz w:val="24"/>
        </w:rPr>
        <w:t xml:space="preserve">, </w:t>
      </w:r>
      <w:r>
        <w:rPr>
          <w:rFonts w:ascii="Times New Roman" w:hAnsi="Times New Roman"/>
          <w:b w:val="0"/>
          <w:i/>
          <w:sz w:val="24"/>
        </w:rPr>
        <w:t>54</w:t>
      </w:r>
      <w:r>
        <w:rPr>
          <w:rFonts w:ascii="Times New Roman" w:hAnsi="Times New Roman"/>
          <w:b w:val="0"/>
          <w:i w:val="0"/>
          <w:sz w:val="24"/>
        </w:rPr>
        <w:t>(2), 115–130. https://doi.org/10.1111/jcpp.12000</w:t>
      </w:r>
    </w:p>
    <w:p>
      <w:pPr>
        <w:jc w:val="left"/>
        <w:spacing w:before="0" w:after="120" w:line="480" w:lineRule="auto"/>
      </w:pPr>
      <w:r>
        <w:rPr>
          <w:rFonts w:ascii="Times New Roman" w:hAnsi="Times New Roman"/>
          <w:b w:val="0"/>
          <w:i w:val="0"/>
          <w:sz w:val="24"/>
        </w:rPr>
        <w:t xml:space="preserve">Noble, K. G., Houston, S. M., Brito, N. H., Bartsch, H., Kan, E., Kuperman, J. M., Akshoomoff, N., Amaral, D. G., Bloss, C. S., Libiger, O., Schork, N. J., Murray, S. S., Casey, B. J., Chang, L., Ernst, T. M., Frazier, J. A., Gruen, J. R., Kennedy, D. N., Van Zijl, P., … Sowell, E. R. (2015). Family income, parental education and brain structure in children and adolescents. </w:t>
      </w:r>
      <w:r>
        <w:rPr>
          <w:rFonts w:ascii="Times New Roman" w:hAnsi="Times New Roman"/>
          <w:b w:val="0"/>
          <w:i/>
          <w:sz w:val="24"/>
        </w:rPr>
        <w:t>Nature Neuroscience</w:t>
      </w:r>
      <w:r>
        <w:rPr>
          <w:rFonts w:ascii="Times New Roman" w:hAnsi="Times New Roman"/>
          <w:b w:val="0"/>
          <w:i w:val="0"/>
          <w:sz w:val="24"/>
        </w:rPr>
        <w:t xml:space="preserve">, </w:t>
      </w:r>
      <w:r>
        <w:rPr>
          <w:rFonts w:ascii="Times New Roman" w:hAnsi="Times New Roman"/>
          <w:b w:val="0"/>
          <w:i/>
          <w:sz w:val="24"/>
        </w:rPr>
        <w:t>18</w:t>
      </w:r>
      <w:r>
        <w:rPr>
          <w:rFonts w:ascii="Times New Roman" w:hAnsi="Times New Roman"/>
          <w:b w:val="0"/>
          <w:i w:val="0"/>
          <w:sz w:val="24"/>
        </w:rPr>
        <w:t>(5), 773–778. https://doi.org/10.1038/nn.3983</w:t>
      </w:r>
    </w:p>
    <w:p>
      <w:pPr>
        <w:jc w:val="left"/>
        <w:spacing w:before="0" w:after="120" w:line="480" w:lineRule="auto"/>
      </w:pPr>
      <w:r>
        <w:rPr>
          <w:rFonts w:ascii="Times New Roman" w:hAnsi="Times New Roman"/>
          <w:b w:val="0"/>
          <w:i w:val="0"/>
          <w:sz w:val="24"/>
        </w:rPr>
        <w:t xml:space="preserve">Ozernov-Palchik, O., Norton, E. S., Wang, Y., Beach, S. D., Zuk, J., Wolf, M., Gabrieli, J. D. E., &amp; Gaab, N. (2019). The relationship between socioeconomic status and white matter microstructure in pre-reading children: A longitudinal investigation. </w:t>
      </w:r>
      <w:r>
        <w:rPr>
          <w:rFonts w:ascii="Times New Roman" w:hAnsi="Times New Roman"/>
          <w:b w:val="0"/>
          <w:i/>
          <w:sz w:val="24"/>
        </w:rPr>
        <w:t>Human Brain Mapping</w:t>
      </w:r>
      <w:r>
        <w:rPr>
          <w:rFonts w:ascii="Times New Roman" w:hAnsi="Times New Roman"/>
          <w:b w:val="0"/>
          <w:i w:val="0"/>
          <w:sz w:val="24"/>
        </w:rPr>
        <w:t xml:space="preserve">, </w:t>
      </w:r>
      <w:r>
        <w:rPr>
          <w:rFonts w:ascii="Times New Roman" w:hAnsi="Times New Roman"/>
          <w:b w:val="0"/>
          <w:i/>
          <w:sz w:val="24"/>
        </w:rPr>
        <w:t>40</w:t>
      </w:r>
      <w:r>
        <w:rPr>
          <w:rFonts w:ascii="Times New Roman" w:hAnsi="Times New Roman"/>
          <w:b w:val="0"/>
          <w:i w:val="0"/>
          <w:sz w:val="24"/>
        </w:rPr>
        <w:t>(3), 741–754. https://doi.org/10.1002/hbm.24407</w:t>
      </w:r>
    </w:p>
    <w:p>
      <w:pPr>
        <w:jc w:val="left"/>
        <w:spacing w:before="0" w:after="120" w:line="480" w:lineRule="auto"/>
      </w:pPr>
      <w:r>
        <w:rPr>
          <w:rFonts w:ascii="Times New Roman" w:hAnsi="Times New Roman"/>
          <w:b w:val="0"/>
          <w:i w:val="0"/>
          <w:sz w:val="24"/>
        </w:rPr>
        <w:t xml:space="preserve">Page, M. J., McKenzie, J. E., Bossuyt, P. M., Boutron, I., Hoffmann, T. C., Mulrow, C. D., Shamseer, L., Tetzlaff, J. M., Akl, E. A., Brennan, S. E., Chou, R., Gluud, C., Mayo-Wilson, E., McDonald, S., McGuinness, L. A., Stewart, L. A., Thomas, J., Tricco, A. C., Welch, V. A., … Moher, D. (2021). The PRISMA 2020 statement: An updated guideline for reporting systematic reviews. </w:t>
      </w:r>
      <w:r>
        <w:rPr>
          <w:rFonts w:ascii="Times New Roman" w:hAnsi="Times New Roman"/>
          <w:b w:val="0"/>
          <w:i/>
          <w:sz w:val="24"/>
        </w:rPr>
        <w:t>BMJ</w:t>
      </w:r>
      <w:r>
        <w:rPr>
          <w:rFonts w:ascii="Times New Roman" w:hAnsi="Times New Roman"/>
          <w:b w:val="0"/>
          <w:i w:val="0"/>
          <w:sz w:val="24"/>
        </w:rPr>
        <w:t xml:space="preserve">, </w:t>
      </w:r>
      <w:r>
        <w:rPr>
          <w:rFonts w:ascii="Times New Roman" w:hAnsi="Times New Roman"/>
          <w:b w:val="0"/>
          <w:i/>
          <w:sz w:val="24"/>
        </w:rPr>
        <w:t>372</w:t>
      </w:r>
      <w:r>
        <w:rPr>
          <w:rFonts w:ascii="Times New Roman" w:hAnsi="Times New Roman"/>
          <w:b w:val="0"/>
          <w:i w:val="0"/>
          <w:sz w:val="24"/>
        </w:rPr>
        <w:t>, n71. https://doi.org/10.1136/bmj.n71</w:t>
      </w:r>
    </w:p>
    <w:p>
      <w:pPr>
        <w:jc w:val="left"/>
        <w:spacing w:before="0" w:after="120" w:line="480" w:lineRule="auto"/>
      </w:pPr>
      <w:r>
        <w:rPr>
          <w:rFonts w:ascii="Times New Roman" w:hAnsi="Times New Roman"/>
          <w:b w:val="0"/>
          <w:i w:val="0"/>
          <w:sz w:val="24"/>
        </w:rPr>
        <w:t xml:space="preserve">Paus, T., Zijdenbos, A., Worsley, K., Collins, D. L., Blumenthal, J., Giedd, J. N., Rapoport, J. L., &amp; Evans, A. C. (1999). Structural maturation of neural pathways in children and adolescents: In vivo study. </w:t>
      </w:r>
      <w:r>
        <w:rPr>
          <w:rFonts w:ascii="Times New Roman" w:hAnsi="Times New Roman"/>
          <w:b w:val="0"/>
          <w:i/>
          <w:sz w:val="24"/>
        </w:rPr>
        <w:t>Science</w:t>
      </w:r>
      <w:r>
        <w:rPr>
          <w:rFonts w:ascii="Times New Roman" w:hAnsi="Times New Roman"/>
          <w:b w:val="0"/>
          <w:i w:val="0"/>
          <w:sz w:val="24"/>
        </w:rPr>
        <w:t xml:space="preserve">, </w:t>
      </w:r>
      <w:r>
        <w:rPr>
          <w:rFonts w:ascii="Times New Roman" w:hAnsi="Times New Roman"/>
          <w:b w:val="0"/>
          <w:i/>
          <w:sz w:val="24"/>
        </w:rPr>
        <w:t>283</w:t>
      </w:r>
      <w:r>
        <w:rPr>
          <w:rFonts w:ascii="Times New Roman" w:hAnsi="Times New Roman"/>
          <w:b w:val="0"/>
          <w:i w:val="0"/>
          <w:sz w:val="24"/>
        </w:rPr>
        <w:t>(5409), 1908–1911. https://doi.org/10.1126/science.283.5409.1908</w:t>
      </w:r>
    </w:p>
    <w:p>
      <w:pPr>
        <w:jc w:val="left"/>
        <w:spacing w:before="0" w:after="120" w:line="480" w:lineRule="auto"/>
      </w:pPr>
      <w:r>
        <w:rPr>
          <w:rFonts w:ascii="Times New Roman" w:hAnsi="Times New Roman"/>
          <w:b w:val="0"/>
          <w:i w:val="0"/>
          <w:sz w:val="24"/>
        </w:rPr>
        <w:t xml:space="preserve">Plomin, R., DeFries, J. C., Knopik, V. S., &amp; Neiderhiser, J. M. (2013). </w:t>
      </w:r>
      <w:r>
        <w:rPr>
          <w:rFonts w:ascii="Times New Roman" w:hAnsi="Times New Roman"/>
          <w:b w:val="0"/>
          <w:i/>
          <w:sz w:val="24"/>
        </w:rPr>
        <w:t>Behavioral genetics</w:t>
      </w:r>
      <w:r>
        <w:rPr>
          <w:rFonts w:ascii="Times New Roman" w:hAnsi="Times New Roman"/>
          <w:b w:val="0"/>
          <w:i w:val="0"/>
          <w:sz w:val="24"/>
        </w:rPr>
        <w:t xml:space="preserve"> (6th ed.). Worth Publishers.</w:t>
      </w:r>
    </w:p>
    <w:p>
      <w:pPr>
        <w:jc w:val="left"/>
        <w:spacing w:before="0" w:after="120" w:line="480" w:lineRule="auto"/>
      </w:pPr>
      <w:r>
        <w:rPr>
          <w:rFonts w:ascii="Times New Roman" w:hAnsi="Times New Roman"/>
          <w:b w:val="0"/>
          <w:i w:val="0"/>
          <w:sz w:val="24"/>
        </w:rPr>
        <w:t xml:space="preserve">Ramphal, B., Whalen, D. J., Kenley, J. K., Yu, Q., Smyser, C. D., Rogers, C. E., &amp; Sylvester, C. M. (2020). Brain connectivity and socioeconomic status at birth and externalizing symptoms at age 2 years. </w:t>
      </w:r>
      <w:r>
        <w:rPr>
          <w:rFonts w:ascii="Times New Roman" w:hAnsi="Times New Roman"/>
          <w:b w:val="0"/>
          <w:i/>
          <w:sz w:val="24"/>
        </w:rPr>
        <w:t>Developmental Cognitive Neuroscience</w:t>
      </w:r>
      <w:r>
        <w:rPr>
          <w:rFonts w:ascii="Times New Roman" w:hAnsi="Times New Roman"/>
          <w:b w:val="0"/>
          <w:i w:val="0"/>
          <w:sz w:val="24"/>
        </w:rPr>
        <w:t xml:space="preserve">, </w:t>
      </w:r>
      <w:r>
        <w:rPr>
          <w:rFonts w:ascii="Times New Roman" w:hAnsi="Times New Roman"/>
          <w:b w:val="0"/>
          <w:i/>
          <w:sz w:val="24"/>
        </w:rPr>
        <w:t>45</w:t>
      </w:r>
      <w:r>
        <w:rPr>
          <w:rFonts w:ascii="Times New Roman" w:hAnsi="Times New Roman"/>
          <w:b w:val="0"/>
          <w:i w:val="0"/>
          <w:sz w:val="24"/>
        </w:rPr>
        <w:t>, Article 100811. https://doi.org/10.1016/j.dcn.2020.100811</w:t>
      </w:r>
    </w:p>
    <w:p>
      <w:pPr>
        <w:jc w:val="left"/>
        <w:spacing w:before="0" w:after="120" w:line="480" w:lineRule="auto"/>
      </w:pPr>
      <w:r>
        <w:rPr>
          <w:rFonts w:ascii="Times New Roman" w:hAnsi="Times New Roman"/>
          <w:b w:val="0"/>
          <w:i w:val="0"/>
          <w:sz w:val="24"/>
        </w:rPr>
        <w:t xml:space="preserve">Rowe, M. L. (2008). Child-directed speech: Relation to socioeconomic status, knowledge of child development and child vocabulary skill. </w:t>
      </w:r>
      <w:r>
        <w:rPr>
          <w:rFonts w:ascii="Times New Roman" w:hAnsi="Times New Roman"/>
          <w:b w:val="0"/>
          <w:i/>
          <w:sz w:val="24"/>
        </w:rPr>
        <w:t>Journal of Child Language</w:t>
      </w:r>
      <w:r>
        <w:rPr>
          <w:rFonts w:ascii="Times New Roman" w:hAnsi="Times New Roman"/>
          <w:b w:val="0"/>
          <w:i w:val="0"/>
          <w:sz w:val="24"/>
        </w:rPr>
        <w:t xml:space="preserve">, </w:t>
      </w:r>
      <w:r>
        <w:rPr>
          <w:rFonts w:ascii="Times New Roman" w:hAnsi="Times New Roman"/>
          <w:b w:val="0"/>
          <w:i/>
          <w:sz w:val="24"/>
        </w:rPr>
        <w:t>35</w:t>
      </w:r>
      <w:r>
        <w:rPr>
          <w:rFonts w:ascii="Times New Roman" w:hAnsi="Times New Roman"/>
          <w:b w:val="0"/>
          <w:i w:val="0"/>
          <w:sz w:val="24"/>
        </w:rPr>
        <w:t>(1), 185–205. https://doi.org/10.1017/S0305000907008343</w:t>
      </w:r>
    </w:p>
    <w:p>
      <w:pPr>
        <w:jc w:val="left"/>
        <w:spacing w:before="0" w:after="120" w:line="480" w:lineRule="auto"/>
      </w:pPr>
      <w:r>
        <w:rPr>
          <w:rFonts w:ascii="Times New Roman" w:hAnsi="Times New Roman"/>
          <w:b w:val="0"/>
          <w:i w:val="0"/>
          <w:sz w:val="24"/>
        </w:rPr>
        <w:t xml:space="preserve">Shephard, E., Fatori, D., Mauro, L. R., de Medeiros Filho, M. V., Hoexter, M. Q., Chiesa, A. M., Fracolli, L. A., Brentani, H., Ferraro, A. A., Nelson, C. A., Miguel, E. C., &amp; Polanczyk, G. V. (2019). Effects of maternal psychopathology and education level on neurocognitive development in infants of adolescent mothers living in poverty. </w:t>
      </w:r>
      <w:r>
        <w:rPr>
          <w:rFonts w:ascii="Times New Roman" w:hAnsi="Times New Roman"/>
          <w:b w:val="0"/>
          <w:i/>
          <w:sz w:val="24"/>
        </w:rPr>
        <w:t>Biological Psychiatry: Cognitive Neuroscience and Neuroimaging</w:t>
      </w:r>
      <w:r>
        <w:rPr>
          <w:rFonts w:ascii="Times New Roman" w:hAnsi="Times New Roman"/>
          <w:b w:val="0"/>
          <w:i w:val="0"/>
          <w:sz w:val="24"/>
        </w:rPr>
        <w:t xml:space="preserve">, </w:t>
      </w:r>
      <w:r>
        <w:rPr>
          <w:rFonts w:ascii="Times New Roman" w:hAnsi="Times New Roman"/>
          <w:b w:val="0"/>
          <w:i/>
          <w:sz w:val="24"/>
        </w:rPr>
        <w:t>4</w:t>
      </w:r>
      <w:r>
        <w:rPr>
          <w:rFonts w:ascii="Times New Roman" w:hAnsi="Times New Roman"/>
          <w:b w:val="0"/>
          <w:i w:val="0"/>
          <w:sz w:val="24"/>
        </w:rPr>
        <w:t>(11), 1136–1145. https://doi.org/10.1016/j.bpsc.2019.05.009</w:t>
      </w:r>
    </w:p>
    <w:p>
      <w:pPr>
        <w:jc w:val="left"/>
        <w:spacing w:before="0" w:after="120" w:line="480" w:lineRule="auto"/>
      </w:pPr>
      <w:r>
        <w:rPr>
          <w:rFonts w:ascii="Times New Roman" w:hAnsi="Times New Roman"/>
          <w:b w:val="0"/>
          <w:i w:val="0"/>
          <w:sz w:val="24"/>
        </w:rPr>
        <w:t xml:space="preserve">Shonkoff, J. P., Garner, A. S., Committee on Psychosocial Aspects of Child and Family Health, Committee on Early Childhood, Adoption, and Dependent Care, &amp; Section on Developmental and Behavioral Pediatrics. (2012). The lifelong effects of early childhood adversity and toxic stress. </w:t>
      </w:r>
      <w:r>
        <w:rPr>
          <w:rFonts w:ascii="Times New Roman" w:hAnsi="Times New Roman"/>
          <w:b w:val="0"/>
          <w:i/>
          <w:sz w:val="24"/>
        </w:rPr>
        <w:t>Pediatrics</w:t>
      </w:r>
      <w:r>
        <w:rPr>
          <w:rFonts w:ascii="Times New Roman" w:hAnsi="Times New Roman"/>
          <w:b w:val="0"/>
          <w:i w:val="0"/>
          <w:sz w:val="24"/>
        </w:rPr>
        <w:t xml:space="preserve">, </w:t>
      </w:r>
      <w:r>
        <w:rPr>
          <w:rFonts w:ascii="Times New Roman" w:hAnsi="Times New Roman"/>
          <w:b w:val="0"/>
          <w:i/>
          <w:sz w:val="24"/>
        </w:rPr>
        <w:t>129</w:t>
      </w:r>
      <w:r>
        <w:rPr>
          <w:rFonts w:ascii="Times New Roman" w:hAnsi="Times New Roman"/>
          <w:b w:val="0"/>
          <w:i w:val="0"/>
          <w:sz w:val="24"/>
        </w:rPr>
        <w:t>(1), e232–e246. https://doi.org/10.1542/peds.2011-2663</w:t>
      </w:r>
    </w:p>
    <w:p>
      <w:pPr>
        <w:jc w:val="left"/>
        <w:spacing w:before="0" w:after="120" w:line="480" w:lineRule="auto"/>
      </w:pPr>
      <w:r>
        <w:rPr>
          <w:rFonts w:ascii="Times New Roman" w:hAnsi="Times New Roman"/>
          <w:b w:val="0"/>
          <w:i w:val="0"/>
          <w:sz w:val="24"/>
        </w:rPr>
        <w:t xml:space="preserve">Sperry, D. E., Sperry, L. L., &amp; Miller, P. J. (2019). Reexamining the verbal environments of children from different socioeconomic backgrounds. </w:t>
      </w:r>
      <w:r>
        <w:rPr>
          <w:rFonts w:ascii="Times New Roman" w:hAnsi="Times New Roman"/>
          <w:b w:val="0"/>
          <w:i/>
          <w:sz w:val="24"/>
        </w:rPr>
        <w:t>Child Development</w:t>
      </w:r>
      <w:r>
        <w:rPr>
          <w:rFonts w:ascii="Times New Roman" w:hAnsi="Times New Roman"/>
          <w:b w:val="0"/>
          <w:i w:val="0"/>
          <w:sz w:val="24"/>
        </w:rPr>
        <w:t xml:space="preserve">, </w:t>
      </w:r>
      <w:r>
        <w:rPr>
          <w:rFonts w:ascii="Times New Roman" w:hAnsi="Times New Roman"/>
          <w:b w:val="0"/>
          <w:i/>
          <w:sz w:val="24"/>
        </w:rPr>
        <w:t>90</w:t>
      </w:r>
      <w:r>
        <w:rPr>
          <w:rFonts w:ascii="Times New Roman" w:hAnsi="Times New Roman"/>
          <w:b w:val="0"/>
          <w:i w:val="0"/>
          <w:sz w:val="24"/>
        </w:rPr>
        <w:t>(4), 1303–1318. https://doi.org/10.1111/cdev.13072</w:t>
      </w:r>
    </w:p>
    <w:p>
      <w:pPr>
        <w:jc w:val="left"/>
        <w:spacing w:before="0" w:after="120" w:line="480" w:lineRule="auto"/>
      </w:pPr>
      <w:r>
        <w:rPr>
          <w:rFonts w:ascii="Times New Roman" w:hAnsi="Times New Roman"/>
          <w:b w:val="0"/>
          <w:i w:val="0"/>
          <w:sz w:val="24"/>
        </w:rPr>
        <w:t xml:space="preserve">Stiles, J., &amp; Jernigan, T. L. (2010). The basics of brain development. </w:t>
      </w:r>
      <w:r>
        <w:rPr>
          <w:rFonts w:ascii="Times New Roman" w:hAnsi="Times New Roman"/>
          <w:b w:val="0"/>
          <w:i/>
          <w:sz w:val="24"/>
        </w:rPr>
        <w:t>Neuropsychology Review</w:t>
      </w:r>
      <w:r>
        <w:rPr>
          <w:rFonts w:ascii="Times New Roman" w:hAnsi="Times New Roman"/>
          <w:b w:val="0"/>
          <w:i w:val="0"/>
          <w:sz w:val="24"/>
        </w:rPr>
        <w:t xml:space="preserve">, </w:t>
      </w:r>
      <w:r>
        <w:rPr>
          <w:rFonts w:ascii="Times New Roman" w:hAnsi="Times New Roman"/>
          <w:b w:val="0"/>
          <w:i/>
          <w:sz w:val="24"/>
        </w:rPr>
        <w:t>20</w:t>
      </w:r>
      <w:r>
        <w:rPr>
          <w:rFonts w:ascii="Times New Roman" w:hAnsi="Times New Roman"/>
          <w:b w:val="0"/>
          <w:i w:val="0"/>
          <w:sz w:val="24"/>
        </w:rPr>
        <w:t>(4), 327–348. https://doi.org/10.1007/s11065-010-9148-4</w:t>
      </w:r>
    </w:p>
    <w:p>
      <w:pPr>
        <w:jc w:val="left"/>
        <w:spacing w:before="0" w:after="120" w:line="480" w:lineRule="auto"/>
      </w:pPr>
      <w:r>
        <w:rPr>
          <w:rFonts w:ascii="Times New Roman" w:hAnsi="Times New Roman"/>
          <w:b w:val="0"/>
          <w:i w:val="0"/>
          <w:sz w:val="24"/>
        </w:rPr>
        <w:t xml:space="preserve">Stiver, M. L., Kamino, D., Guo, T., Thompson, A., Duerden, E. G., Taylor, M. J., &amp; Tam, E. W. Y. (2015). Maternal postsecondary education associated with improved cerebellar growth after preterm birth. </w:t>
      </w:r>
      <w:r>
        <w:rPr>
          <w:rFonts w:ascii="Times New Roman" w:hAnsi="Times New Roman"/>
          <w:b w:val="0"/>
          <w:i/>
          <w:sz w:val="24"/>
        </w:rPr>
        <w:t>Journal of Child Neurology</w:t>
      </w:r>
      <w:r>
        <w:rPr>
          <w:rFonts w:ascii="Times New Roman" w:hAnsi="Times New Roman"/>
          <w:b w:val="0"/>
          <w:i w:val="0"/>
          <w:sz w:val="24"/>
        </w:rPr>
        <w:t xml:space="preserve">, </w:t>
      </w:r>
      <w:r>
        <w:rPr>
          <w:rFonts w:ascii="Times New Roman" w:hAnsi="Times New Roman"/>
          <w:b w:val="0"/>
          <w:i/>
          <w:sz w:val="24"/>
        </w:rPr>
        <w:t>30</w:t>
      </w:r>
      <w:r>
        <w:rPr>
          <w:rFonts w:ascii="Times New Roman" w:hAnsi="Times New Roman"/>
          <w:b w:val="0"/>
          <w:i w:val="0"/>
          <w:sz w:val="24"/>
        </w:rPr>
        <w:t>(12), 1633–1639. https://doi.org/10.1177/0883073815576790</w:t>
      </w:r>
    </w:p>
    <w:p>
      <w:pPr>
        <w:jc w:val="left"/>
        <w:spacing w:before="0" w:after="120" w:line="480" w:lineRule="auto"/>
      </w:pPr>
      <w:r>
        <w:rPr>
          <w:rFonts w:ascii="Times New Roman" w:hAnsi="Times New Roman"/>
          <w:b w:val="0"/>
          <w:i w:val="0"/>
          <w:sz w:val="24"/>
        </w:rPr>
        <w:t xml:space="preserve">Tomalski, P., &amp; Johnson, M. H. (2010). The effects of early adversity on the adult and developing brain. </w:t>
      </w:r>
      <w:r>
        <w:rPr>
          <w:rFonts w:ascii="Times New Roman" w:hAnsi="Times New Roman"/>
          <w:b w:val="0"/>
          <w:i/>
          <w:sz w:val="24"/>
        </w:rPr>
        <w:t>Current Opinion in Psychiatry</w:t>
      </w:r>
      <w:r>
        <w:rPr>
          <w:rFonts w:ascii="Times New Roman" w:hAnsi="Times New Roman"/>
          <w:b w:val="0"/>
          <w:i w:val="0"/>
          <w:sz w:val="24"/>
        </w:rPr>
        <w:t xml:space="preserve">, </w:t>
      </w:r>
      <w:r>
        <w:rPr>
          <w:rFonts w:ascii="Times New Roman" w:hAnsi="Times New Roman"/>
          <w:b w:val="0"/>
          <w:i/>
          <w:sz w:val="24"/>
        </w:rPr>
        <w:t>23</w:t>
      </w:r>
      <w:r>
        <w:rPr>
          <w:rFonts w:ascii="Times New Roman" w:hAnsi="Times New Roman"/>
          <w:b w:val="0"/>
          <w:i w:val="0"/>
          <w:sz w:val="24"/>
        </w:rPr>
        <w:t>(3), 233–238. https://doi.org/10.1097/YCO.0b013e3283387d9f</w:t>
      </w:r>
    </w:p>
    <w:p>
      <w:pPr>
        <w:jc w:val="left"/>
        <w:spacing w:before="0" w:after="120" w:line="480" w:lineRule="auto"/>
      </w:pPr>
      <w:r>
        <w:rPr>
          <w:rFonts w:ascii="Times New Roman" w:hAnsi="Times New Roman"/>
          <w:b w:val="0"/>
          <w:i w:val="0"/>
          <w:sz w:val="24"/>
        </w:rPr>
        <w:t xml:space="preserve">Torpey, D. C., Hajcak, G., &amp; Klein, D. N. (2009). An examination of error-related brain activity and its modulation by error value in young children. </w:t>
      </w:r>
      <w:r>
        <w:rPr>
          <w:rFonts w:ascii="Times New Roman" w:hAnsi="Times New Roman"/>
          <w:b w:val="0"/>
          <w:i/>
          <w:sz w:val="24"/>
        </w:rPr>
        <w:t>Developmental Neuropsychology</w:t>
      </w:r>
      <w:r>
        <w:rPr>
          <w:rFonts w:ascii="Times New Roman" w:hAnsi="Times New Roman"/>
          <w:b w:val="0"/>
          <w:i w:val="0"/>
          <w:sz w:val="24"/>
        </w:rPr>
        <w:t xml:space="preserve">, </w:t>
      </w:r>
      <w:r>
        <w:rPr>
          <w:rFonts w:ascii="Times New Roman" w:hAnsi="Times New Roman"/>
          <w:b w:val="0"/>
          <w:i/>
          <w:sz w:val="24"/>
        </w:rPr>
        <w:t>34</w:t>
      </w:r>
      <w:r>
        <w:rPr>
          <w:rFonts w:ascii="Times New Roman" w:hAnsi="Times New Roman"/>
          <w:b w:val="0"/>
          <w:i w:val="0"/>
          <w:sz w:val="24"/>
        </w:rPr>
        <w:t>(6), 749–761. https://doi.org/10.1080/87565640903265103</w:t>
      </w:r>
    </w:p>
    <w:p>
      <w:pPr>
        <w:jc w:val="left"/>
        <w:spacing w:before="0" w:after="120" w:line="480" w:lineRule="auto"/>
      </w:pPr>
      <w:r>
        <w:rPr>
          <w:rFonts w:ascii="Times New Roman" w:hAnsi="Times New Roman"/>
          <w:b w:val="0"/>
          <w:i w:val="0"/>
          <w:sz w:val="24"/>
        </w:rPr>
        <w:t xml:space="preserve">Turesky, T. K., Sanfilippo, J., Zuk, J., Ahtam, B., Gagoski, B., Lee, A., Garrisi, K., Dunstan, J., Carruthers, C., Vanderauwera, J., Yu, X., &amp; Gaab, N. (2022). Home language and literacy environment and its relationship to socioeconomic status and white matter structure in infancy. </w:t>
      </w:r>
      <w:r>
        <w:rPr>
          <w:rFonts w:ascii="Times New Roman" w:hAnsi="Times New Roman"/>
          <w:b w:val="0"/>
          <w:i/>
          <w:sz w:val="24"/>
        </w:rPr>
        <w:t>Brain Structure and Function</w:t>
      </w:r>
      <w:r>
        <w:rPr>
          <w:rFonts w:ascii="Times New Roman" w:hAnsi="Times New Roman"/>
          <w:b w:val="0"/>
          <w:i w:val="0"/>
          <w:sz w:val="24"/>
        </w:rPr>
        <w:t xml:space="preserve">, </w:t>
      </w:r>
      <w:r>
        <w:rPr>
          <w:rFonts w:ascii="Times New Roman" w:hAnsi="Times New Roman"/>
          <w:b w:val="0"/>
          <w:i/>
          <w:sz w:val="24"/>
        </w:rPr>
        <w:t>227</w:t>
      </w:r>
      <w:r>
        <w:rPr>
          <w:rFonts w:ascii="Times New Roman" w:hAnsi="Times New Roman"/>
          <w:b w:val="0"/>
          <w:i w:val="0"/>
          <w:sz w:val="24"/>
        </w:rPr>
        <w:t>(8), 2633–2645. https://doi.org/10.1007/s00429-022-02560-4</w:t>
      </w:r>
    </w:p>
    <w:p>
      <w:pPr>
        <w:jc w:val="left"/>
        <w:spacing w:before="0" w:after="120" w:line="480" w:lineRule="auto"/>
      </w:pPr>
      <w:r>
        <w:rPr>
          <w:rFonts w:ascii="Times New Roman" w:hAnsi="Times New Roman"/>
          <w:b w:val="0"/>
          <w:i w:val="0"/>
          <w:sz w:val="24"/>
        </w:rPr>
        <w:t xml:space="preserve">Ursache, A., &amp; Noble, K. G. (2016). Socioeconomic status, white matter, and executive function in children. </w:t>
      </w:r>
      <w:r>
        <w:rPr>
          <w:rFonts w:ascii="Times New Roman" w:hAnsi="Times New Roman"/>
          <w:b w:val="0"/>
          <w:i/>
          <w:sz w:val="24"/>
        </w:rPr>
        <w:t>Brain and Behavior</w:t>
      </w:r>
      <w:r>
        <w:rPr>
          <w:rFonts w:ascii="Times New Roman" w:hAnsi="Times New Roman"/>
          <w:b w:val="0"/>
          <w:i w:val="0"/>
          <w:sz w:val="24"/>
        </w:rPr>
        <w:t xml:space="preserve">, </w:t>
      </w:r>
      <w:r>
        <w:rPr>
          <w:rFonts w:ascii="Times New Roman" w:hAnsi="Times New Roman"/>
          <w:b w:val="0"/>
          <w:i/>
          <w:sz w:val="24"/>
        </w:rPr>
        <w:t>6</w:t>
      </w:r>
      <w:r>
        <w:rPr>
          <w:rFonts w:ascii="Times New Roman" w:hAnsi="Times New Roman"/>
          <w:b w:val="0"/>
          <w:i w:val="0"/>
          <w:sz w:val="24"/>
        </w:rPr>
        <w:t>(10), Article e00531. https://doi.org/10.1002/brb3.531</w:t>
      </w:r>
    </w:p>
    <w:p>
      <w:pPr>
        <w:jc w:val="left"/>
        <w:spacing w:before="0" w:after="120" w:line="480" w:lineRule="auto"/>
      </w:pPr>
      <w:r>
        <w:rPr>
          <w:rFonts w:ascii="Times New Roman" w:hAnsi="Times New Roman"/>
          <w:b w:val="0"/>
          <w:i w:val="0"/>
          <w:sz w:val="24"/>
        </w:rPr>
        <w:t xml:space="preserve">van Veen, V., &amp; Carter, C. S. (2002). The anterior cingulate as a conflict monitor: fMRI and ERP studies. </w:t>
      </w:r>
      <w:r>
        <w:rPr>
          <w:rFonts w:ascii="Times New Roman" w:hAnsi="Times New Roman"/>
          <w:b w:val="0"/>
          <w:i/>
          <w:sz w:val="24"/>
        </w:rPr>
        <w:t>Physiology &amp; Behavior</w:t>
      </w:r>
      <w:r>
        <w:rPr>
          <w:rFonts w:ascii="Times New Roman" w:hAnsi="Times New Roman"/>
          <w:b w:val="0"/>
          <w:i w:val="0"/>
          <w:sz w:val="24"/>
        </w:rPr>
        <w:t xml:space="preserve">, </w:t>
      </w:r>
      <w:r>
        <w:rPr>
          <w:rFonts w:ascii="Times New Roman" w:hAnsi="Times New Roman"/>
          <w:b w:val="0"/>
          <w:i/>
          <w:sz w:val="24"/>
        </w:rPr>
        <w:t>77</w:t>
      </w:r>
      <w:r>
        <w:rPr>
          <w:rFonts w:ascii="Times New Roman" w:hAnsi="Times New Roman"/>
          <w:b w:val="0"/>
          <w:i w:val="0"/>
          <w:sz w:val="24"/>
        </w:rPr>
        <w:t>(4–5), 477–482. https://doi.org/10.1016/S0031-9384(02)00930-7</w:t>
      </w:r>
    </w:p>
    <w:p>
      <w:pPr>
        <w:jc w:val="left"/>
        <w:spacing w:before="0" w:after="120" w:line="480" w:lineRule="auto"/>
      </w:pPr>
      <w:r>
        <w:rPr>
          <w:rFonts w:ascii="Times New Roman" w:hAnsi="Times New Roman"/>
          <w:b w:val="0"/>
          <w:i w:val="0"/>
          <w:sz w:val="24"/>
        </w:rPr>
        <w:t xml:space="preserve">Victora, C. G., Adair, L., Fall, C., Hallal, P. C., Martorell, R., Richter, L., &amp; Sachdev, H. S. (2008). Maternal and child undernutrition: Consequences for adult health and human capital. </w:t>
      </w:r>
      <w:r>
        <w:rPr>
          <w:rFonts w:ascii="Times New Roman" w:hAnsi="Times New Roman"/>
          <w:b w:val="0"/>
          <w:i/>
          <w:sz w:val="24"/>
        </w:rPr>
        <w:t>The Lancet</w:t>
      </w:r>
      <w:r>
        <w:rPr>
          <w:rFonts w:ascii="Times New Roman" w:hAnsi="Times New Roman"/>
          <w:b w:val="0"/>
          <w:i w:val="0"/>
          <w:sz w:val="24"/>
        </w:rPr>
        <w:t xml:space="preserve">, </w:t>
      </w:r>
      <w:r>
        <w:rPr>
          <w:rFonts w:ascii="Times New Roman" w:hAnsi="Times New Roman"/>
          <w:b w:val="0"/>
          <w:i/>
          <w:sz w:val="24"/>
        </w:rPr>
        <w:t>371</w:t>
      </w:r>
      <w:r>
        <w:rPr>
          <w:rFonts w:ascii="Times New Roman" w:hAnsi="Times New Roman"/>
          <w:b w:val="0"/>
          <w:i w:val="0"/>
          <w:sz w:val="24"/>
        </w:rPr>
        <w:t>(9609), 340–357. https://doi.org/10.1016/S0140-6736(07)61692-4</w:t>
      </w:r>
    </w:p>
    <w:p>
      <w:pPr>
        <w:jc w:val="left"/>
        <w:spacing w:before="0" w:after="120" w:line="480" w:lineRule="auto"/>
      </w:pPr>
      <w:r>
        <w:rPr>
          <w:rFonts w:ascii="Times New Roman" w:hAnsi="Times New Roman"/>
          <w:b w:val="0"/>
          <w:i w:val="0"/>
          <w:sz w:val="24"/>
        </w:rPr>
        <w:t xml:space="preserve">Walker, S. P., Wachs, T. D., Grantham-McGregor, S., Black, M. M., Nelson, C. A., Huffman, S. L., Baker-Henningham, H., Chang, S. M., Hamadani, J. D., Lozoff, B., Gardner, J. M. M., Powell, C. A., Rahman, A., &amp; Richter, L. (2011). Inequality in early childhood: Risk and protective factors for early child development. </w:t>
      </w:r>
      <w:r>
        <w:rPr>
          <w:rFonts w:ascii="Times New Roman" w:hAnsi="Times New Roman"/>
          <w:b w:val="0"/>
          <w:i/>
          <w:sz w:val="24"/>
        </w:rPr>
        <w:t>The Lancet</w:t>
      </w:r>
      <w:r>
        <w:rPr>
          <w:rFonts w:ascii="Times New Roman" w:hAnsi="Times New Roman"/>
          <w:b w:val="0"/>
          <w:i w:val="0"/>
          <w:sz w:val="24"/>
        </w:rPr>
        <w:t xml:space="preserve">, </w:t>
      </w:r>
      <w:r>
        <w:rPr>
          <w:rFonts w:ascii="Times New Roman" w:hAnsi="Times New Roman"/>
          <w:b w:val="0"/>
          <w:i/>
          <w:sz w:val="24"/>
        </w:rPr>
        <w:t>378</w:t>
      </w:r>
      <w:r>
        <w:rPr>
          <w:rFonts w:ascii="Times New Roman" w:hAnsi="Times New Roman"/>
          <w:b w:val="0"/>
          <w:i w:val="0"/>
          <w:sz w:val="24"/>
        </w:rPr>
        <w:t>(9799), 1325–1338. https://doi.org/10.1016/S0140-6736(11)60555-2</w:t>
      </w:r>
    </w:p>
    <w:p>
      <w:pPr>
        <w:jc w:val="left"/>
        <w:spacing w:before="0" w:after="120" w:line="480" w:lineRule="auto"/>
      </w:pPr>
      <w:r>
        <w:rPr>
          <w:rFonts w:ascii="Times New Roman" w:hAnsi="Times New Roman"/>
          <w:b w:val="0"/>
          <w:i w:val="0"/>
          <w:sz w:val="24"/>
        </w:rPr>
        <w:t xml:space="preserve">Wells, G. A., Shea, B., O'Connell, D., Peterson, J., Welch, V., Losos, M., &amp; Tugwell, P. (2000). </w:t>
      </w:r>
      <w:r>
        <w:rPr>
          <w:rFonts w:ascii="Times New Roman" w:hAnsi="Times New Roman"/>
          <w:b w:val="0"/>
          <w:i/>
          <w:sz w:val="24"/>
        </w:rPr>
        <w:t>The Newcastle–Ottawa Scale (NOS) for assessing the quality of nonrandomised studies in meta-analyses</w:t>
      </w:r>
      <w:r>
        <w:rPr>
          <w:rFonts w:ascii="Times New Roman" w:hAnsi="Times New Roman"/>
          <w:b w:val="0"/>
          <w:i w:val="0"/>
          <w:sz w:val="24"/>
        </w:rPr>
        <w:t>. Ottawa Hospital Research Institute. http://www.ohri.ca/programs/clinical_epidemiology/oxford.asp</w:t>
      </w:r>
    </w:p>
    <w:p>
      <w:pPr>
        <w:jc w:val="left"/>
        <w:spacing w:before="0" w:after="120" w:line="480" w:lineRule="auto"/>
      </w:pPr>
      <w:r>
        <w:rPr>
          <w:rFonts w:ascii="Times New Roman" w:hAnsi="Times New Roman"/>
          <w:b w:val="0"/>
          <w:i w:val="0"/>
          <w:sz w:val="24"/>
        </w:rPr>
        <w:t xml:space="preserve">Wienke, A.-S., &amp; Mathes, B. (2024). Socioeconomic inequalities affect brain responses of infants growing up in Germany. </w:t>
      </w:r>
      <w:r>
        <w:rPr>
          <w:rFonts w:ascii="Times New Roman" w:hAnsi="Times New Roman"/>
          <w:b w:val="0"/>
          <w:i/>
          <w:sz w:val="24"/>
        </w:rPr>
        <w:t>Brain Sciences</w:t>
      </w:r>
      <w:r>
        <w:rPr>
          <w:rFonts w:ascii="Times New Roman" w:hAnsi="Times New Roman"/>
          <w:b w:val="0"/>
          <w:i w:val="0"/>
          <w:sz w:val="24"/>
        </w:rPr>
        <w:t xml:space="preserve">, </w:t>
      </w:r>
      <w:r>
        <w:rPr>
          <w:rFonts w:ascii="Times New Roman" w:hAnsi="Times New Roman"/>
          <w:b w:val="0"/>
          <w:i/>
          <w:sz w:val="24"/>
        </w:rPr>
        <w:t>14</w:t>
      </w:r>
      <w:r>
        <w:rPr>
          <w:rFonts w:ascii="Times New Roman" w:hAnsi="Times New Roman"/>
          <w:b w:val="0"/>
          <w:i w:val="0"/>
          <w:sz w:val="24"/>
        </w:rPr>
        <w:t>(6), Article 560. https://doi.org/10.3390/brainsci14060560</w:t>
      </w:r>
    </w:p>
    <w:p>
      <w:pPr>
        <w:jc w:val="left"/>
        <w:spacing w:before="0" w:after="120" w:line="480" w:lineRule="auto"/>
      </w:pPr>
      <w:r>
        <w:rPr>
          <w:rFonts w:ascii="Times New Roman" w:hAnsi="Times New Roman"/>
          <w:b w:val="0"/>
          <w:i w:val="0"/>
          <w:sz w:val="24"/>
        </w:rPr>
        <w:t xml:space="preserve">Wijeakumar, S., Kumar, A., Delgado Reyes, L. M., Tiwari, M., &amp; Spencer, J. P. (2019). Early adversity in rural India impacts the brain networks underlying visual working memory. </w:t>
      </w:r>
      <w:r>
        <w:rPr>
          <w:rFonts w:ascii="Times New Roman" w:hAnsi="Times New Roman"/>
          <w:b w:val="0"/>
          <w:i/>
          <w:sz w:val="24"/>
        </w:rPr>
        <w:t>Developmental Science</w:t>
      </w:r>
      <w:r>
        <w:rPr>
          <w:rFonts w:ascii="Times New Roman" w:hAnsi="Times New Roman"/>
          <w:b w:val="0"/>
          <w:i w:val="0"/>
          <w:sz w:val="24"/>
        </w:rPr>
        <w:t xml:space="preserve">, </w:t>
      </w:r>
      <w:r>
        <w:rPr>
          <w:rFonts w:ascii="Times New Roman" w:hAnsi="Times New Roman"/>
          <w:b w:val="0"/>
          <w:i/>
          <w:sz w:val="24"/>
        </w:rPr>
        <w:t>22</w:t>
      </w:r>
      <w:r>
        <w:rPr>
          <w:rFonts w:ascii="Times New Roman" w:hAnsi="Times New Roman"/>
          <w:b w:val="0"/>
          <w:i w:val="0"/>
          <w:sz w:val="24"/>
        </w:rPr>
        <w:t>(5), Article e12822. https://doi.org/10.1111/desc.12822</w:t>
      </w:r>
    </w:p>
    <w:p>
      <w:pPr>
        <w:jc w:val="left"/>
        <w:spacing w:before="0" w:after="120" w:line="480" w:lineRule="auto"/>
      </w:pPr>
      <w:r>
        <w:rPr>
          <w:rFonts w:ascii="Times New Roman" w:hAnsi="Times New Roman"/>
          <w:b w:val="0"/>
          <w:i w:val="0"/>
          <w:sz w:val="24"/>
        </w:rPr>
        <w:t xml:space="preserve">Yeatman, J. D., Dougherty, R. F., Ben-Shachar, M., &amp; Wandell, B. A. (2012). Development of white matter and reading skills. </w:t>
      </w:r>
      <w:r>
        <w:rPr>
          <w:rFonts w:ascii="Times New Roman" w:hAnsi="Times New Roman"/>
          <w:b w:val="0"/>
          <w:i/>
          <w:sz w:val="24"/>
        </w:rPr>
        <w:t>Proceedings of the National Academy of Sciences</w:t>
      </w:r>
      <w:r>
        <w:rPr>
          <w:rFonts w:ascii="Times New Roman" w:hAnsi="Times New Roman"/>
          <w:b w:val="0"/>
          <w:i w:val="0"/>
          <w:sz w:val="24"/>
        </w:rPr>
        <w:t xml:space="preserve">, </w:t>
      </w:r>
      <w:r>
        <w:rPr>
          <w:rFonts w:ascii="Times New Roman" w:hAnsi="Times New Roman"/>
          <w:b w:val="0"/>
          <w:i/>
          <w:sz w:val="24"/>
        </w:rPr>
        <w:t>109</w:t>
      </w:r>
      <w:r>
        <w:rPr>
          <w:rFonts w:ascii="Times New Roman" w:hAnsi="Times New Roman"/>
          <w:b w:val="0"/>
          <w:i w:val="0"/>
          <w:sz w:val="24"/>
        </w:rPr>
        <w:t>(44), E3045–E3053. https://doi.org/10.1073/pnas.1206792X</w:t>
      </w:r>
    </w:p>
    <w:p>
      <w:pPr>
        <w:jc w:val="left"/>
        <w:spacing w:before="0" w:after="120" w:line="480" w:lineRule="auto"/>
      </w:pPr>
      <w:r>
        <w:rPr>
          <w:rFonts w:ascii="Times New Roman" w:hAnsi="Times New Roman"/>
          <w:b w:val="0"/>
          <w:i w:val="0"/>
          <w:sz w:val="24"/>
        </w:rPr>
        <w:t xml:space="preserve">Zhu, C., Chen, Y., Müller, H.-G., &amp; Styner, M. A. (2023). Trajectories of brain volumes in young children are associated with maternal education. </w:t>
      </w:r>
      <w:r>
        <w:rPr>
          <w:rFonts w:ascii="Times New Roman" w:hAnsi="Times New Roman"/>
          <w:b w:val="0"/>
          <w:i/>
          <w:sz w:val="24"/>
        </w:rPr>
        <w:t>Human Brain Mapping</w:t>
      </w:r>
      <w:r>
        <w:rPr>
          <w:rFonts w:ascii="Times New Roman" w:hAnsi="Times New Roman"/>
          <w:b w:val="0"/>
          <w:i w:val="0"/>
          <w:sz w:val="24"/>
        </w:rPr>
        <w:t xml:space="preserve">, </w:t>
      </w:r>
      <w:r>
        <w:rPr>
          <w:rFonts w:ascii="Times New Roman" w:hAnsi="Times New Roman"/>
          <w:b w:val="0"/>
          <w:i/>
          <w:sz w:val="24"/>
        </w:rPr>
        <w:t>44</w:t>
      </w:r>
      <w:r>
        <w:rPr>
          <w:rFonts w:ascii="Times New Roman" w:hAnsi="Times New Roman"/>
          <w:b w:val="0"/>
          <w:i w:val="0"/>
          <w:sz w:val="24"/>
        </w:rPr>
        <w:t>(8), 3060–3073. https://doi.org/10.1002/hbm.26271</w:t>
      </w:r>
    </w:p>
    <w:p>
      <w:pPr>
        <w:jc w:val="left"/>
        <w:spacing w:before="0" w:after="120" w:line="480" w:lineRule="auto"/>
      </w:pPr>
      <w:r>
        <w:rPr>
          <w:rFonts w:ascii="Times New Roman" w:hAnsi="Times New Roman"/>
          <w:b w:val="0"/>
          <w:i w:val="0"/>
          <w:sz w:val="24"/>
        </w:rPr>
        <w:t xml:space="preserve">UNESCO. (2010). </w:t>
      </w:r>
      <w:r>
        <w:rPr>
          <w:rFonts w:ascii="Times New Roman" w:hAnsi="Times New Roman"/>
          <w:b w:val="0"/>
          <w:i/>
          <w:sz w:val="24"/>
        </w:rPr>
        <w:t>World conference on early childhood care and education: Building the wealth of nations</w:t>
      </w:r>
      <w:r>
        <w:rPr>
          <w:rFonts w:ascii="Times New Roman" w:hAnsi="Times New Roman"/>
          <w:b w:val="0"/>
          <w:i w:val="0"/>
          <w:sz w:val="24"/>
        </w:rPr>
        <w:t>. UNESCO. https://unesdoc.unesco.org/ark:/48223/pf0000190776</w:t>
      </w:r>
    </w:p>
    <w:p>
      <w:pPr>
        <w:jc w:val="left"/>
        <w:spacing w:before="0" w:after="120" w:line="480" w:lineRule="auto"/>
      </w:pPr>
      <w:r>
        <w:rPr>
          <w:rFonts w:ascii="Times New Roman" w:hAnsi="Times New Roman"/>
          <w:b w:val="0"/>
          <w:i w:val="0"/>
          <w:sz w:val="24"/>
        </w:rPr>
        <w:t xml:space="preserve">World Health Organization. (2007). </w:t>
      </w:r>
      <w:r>
        <w:rPr>
          <w:rFonts w:ascii="Times New Roman" w:hAnsi="Times New Roman"/>
          <w:b w:val="0"/>
          <w:i/>
          <w:sz w:val="24"/>
        </w:rPr>
        <w:t>Early child development: A powerful equalizer</w:t>
      </w:r>
      <w:r>
        <w:rPr>
          <w:rFonts w:ascii="Times New Roman" w:hAnsi="Times New Roman"/>
          <w:b w:val="0"/>
          <w:i w:val="0"/>
          <w:sz w:val="24"/>
        </w:rPr>
        <w:t>. WHO Press. https://www.who.int/publications/i/item/early-child-development-a-powerful-equalizer</w:t>
      </w:r>
    </w:p>
    <w:p>
      <w:r>
        <w:br w:type="page"/>
      </w:r>
    </w:p>
    <w:p>
      <w:pPr>
        <w:jc w:val="left"/>
        <w:spacing w:before="0" w:after="240" w:line="360" w:lineRule="auto"/>
      </w:pPr>
      <w:r>
        <w:rPr>
          <w:rFonts w:ascii="Times New Roman" w:hAnsi="Times New Roman"/>
          <w:b/>
          <w:i w:val="0"/>
          <w:sz w:val="28"/>
        </w:rPr>
        <w:t>Figure Captions</w:t>
      </w:r>
    </w:p>
    <w:p>
      <w:pPr>
        <w:spacing w:before="0" w:after="120" w:line="360" w:lineRule="auto"/>
      </w:pPr>
      <w:r>
        <w:rPr>
          <w:rFonts w:ascii="Times New Roman" w:hAnsi="Times New Roman"/>
          <w:b w:val="0"/>
          <w:i w:val="0"/>
          <w:sz w:val="22"/>
        </w:rPr>
        <w:t>Figure 1. PRISMA 2020 flow diagram illustrating the study selection process. Records were identified through searches of PubMed/MEDLINE, PsycINFO, Web of Science, and Scopus (total = 3,097). After deduplication (n = 1,827), automated keyword pre-screening (Stage 1) and title/abstract screening (Stage 2) yielded 133 records for full-text retrieval. Full-text assessment of 109 records resulted in 16 studies meeting all inclusion criteria.</w:t>
      </w:r>
    </w:p>
    <w:p>
      <w:pPr>
        <w:spacing w:before="0" w:after="120" w:line="360" w:lineRule="auto"/>
      </w:pPr>
      <w:r>
        <w:rPr>
          <w:rFonts w:ascii="Times New Roman" w:hAnsi="Times New Roman"/>
          <w:b w:val="0"/>
          <w:i w:val="0"/>
          <w:sz w:val="22"/>
        </w:rPr>
        <w:t>Figure 2. Distribution of included studies by neural modality and child age at measurement. Bubble size reflects sample size. Studies are plotted at their reported mean age (or midpoint of age range). Modalities: rsEEG = resting-state EEG; ERP = event-related potential; fNIRS = functional near-infrared spectroscopy; fMRI = functional MRI; DTI = diffusion tensor imaging; sMRI = structural MRI.</w:t>
      </w:r>
    </w:p>
    <w:p>
      <w:pPr>
        <w:spacing w:before="0" w:after="120" w:line="360" w:lineRule="auto"/>
      </w:pPr>
      <w:r>
        <w:rPr>
          <w:rFonts w:ascii="Times New Roman" w:hAnsi="Times New Roman"/>
          <w:b w:val="0"/>
          <w:i w:val="0"/>
          <w:sz w:val="22"/>
        </w:rPr>
        <w:t>Figure 3. Effect direction by neural modality. Each bar represents the proportion of studies within a modality reporting positive, null, or negative associations between higher parental education and more mature or stronger neural indices. Numbers inside bars indicate study counts.</w:t>
      </w:r>
    </w:p>
    <w:p>
      <w:pPr>
        <w:spacing w:before="0" w:after="120" w:line="360" w:lineRule="auto"/>
      </w:pPr>
      <w:r>
        <w:rPr>
          <w:rFonts w:ascii="Times New Roman" w:hAnsi="Times New Roman"/>
          <w:b w:val="0"/>
          <w:i w:val="0"/>
          <w:sz w:val="22"/>
        </w:rPr>
        <w:t>Figure 4. Age at neural measurement across included studies, ordered by modality. Each point represents one study; horizontal bars indicate the full age range sampled. Shading denotes the 0–8 year target window. Studies extending beyond 8 years are included where subgroup analyses or primary effects fell within the target range.</w:t>
      </w:r>
    </w:p>
    <w:p>
      <w:r>
        <w:br w:type="page"/>
      </w:r>
    </w:p>
    <w:p>
      <w:pPr>
        <w:jc w:val="center"/>
        <w:spacing w:before="0" w:after="120" w:line="240" w:lineRule="auto"/>
      </w:pPr>
      <w:r>
        <w:drawing>
          <wp:inline xmlns:a="http://schemas.openxmlformats.org/drawingml/2006/main" xmlns:pic="http://schemas.openxmlformats.org/drawingml/2006/picture">
            <wp:extent cx="5580000" cy="6901579"/>
            <wp:docPr id="1" name="Picture 1"/>
            <wp:cNvGraphicFramePr>
              <a:graphicFrameLocks noChangeAspect="1"/>
            </wp:cNvGraphicFramePr>
            <a:graphic>
              <a:graphicData uri="http://schemas.openxmlformats.org/drawingml/2006/picture">
                <pic:pic>
                  <pic:nvPicPr>
                    <pic:cNvPr id="0" name="figure1_prisma.png"/>
                    <pic:cNvPicPr/>
                  </pic:nvPicPr>
                  <pic:blipFill>
                    <a:blip r:embed="rId9"/>
                    <a:stretch>
                      <a:fillRect/>
                    </a:stretch>
                  </pic:blipFill>
                  <pic:spPr>
                    <a:xfrm>
                      <a:off x="0" y="0"/>
                      <a:ext cx="5580000" cy="6901579"/>
                    </a:xfrm>
                    <a:prstGeom prst="rect"/>
                  </pic:spPr>
                </pic:pic>
              </a:graphicData>
            </a:graphic>
          </wp:inline>
        </w:drawing>
      </w:r>
    </w:p>
    <w:p>
      <w:pPr>
        <w:jc w:val="left"/>
        <w:spacing w:before="120" w:after="0" w:line="360" w:lineRule="auto"/>
      </w:pPr>
      <w:r>
        <w:rPr>
          <w:rFonts w:ascii="Times New Roman" w:hAnsi="Times New Roman"/>
          <w:b w:val="0"/>
          <w:i w:val="0"/>
          <w:sz w:val="22"/>
        </w:rPr>
        <w:t>Figure 1. PRISMA 2020 flow diagram illustrating the study selection process. Records were identified through searches of PubMed/MEDLINE, PsycINFO, Web of Science, and Scopus (total = 3,097). After deduplication (n = 1,827), automated keyword pre-screening (Stage 1) and title/abstract screening (Stage 2) yielded 133 records for full-text retrieval. Full-text assessment of 109 records resulted in 16 studies meeting all inclusion criteria.</w:t>
      </w:r>
    </w:p>
    <w:p>
      <w:r>
        <w:br w:type="page"/>
      </w:r>
    </w:p>
    <w:p>
      <w:pPr>
        <w:jc w:val="center"/>
        <w:spacing w:before="0" w:after="120" w:line="240" w:lineRule="auto"/>
      </w:pPr>
      <w:r>
        <w:drawing>
          <wp:inline xmlns:a="http://schemas.openxmlformats.org/drawingml/2006/main" xmlns:pic="http://schemas.openxmlformats.org/drawingml/2006/picture">
            <wp:extent cx="5580000" cy="4643886"/>
            <wp:docPr id="2" name="Picture 2"/>
            <wp:cNvGraphicFramePr>
              <a:graphicFrameLocks noChangeAspect="1"/>
            </wp:cNvGraphicFramePr>
            <a:graphic>
              <a:graphicData uri="http://schemas.openxmlformats.org/drawingml/2006/picture">
                <pic:pic>
                  <pic:nvPicPr>
                    <pic:cNvPr id="0" name="figure2_modality_age_bubble.png"/>
                    <pic:cNvPicPr/>
                  </pic:nvPicPr>
                  <pic:blipFill>
                    <a:blip r:embed="rId10"/>
                    <a:stretch>
                      <a:fillRect/>
                    </a:stretch>
                  </pic:blipFill>
                  <pic:spPr>
                    <a:xfrm>
                      <a:off x="0" y="0"/>
                      <a:ext cx="5580000" cy="4643886"/>
                    </a:xfrm>
                    <a:prstGeom prst="rect"/>
                  </pic:spPr>
                </pic:pic>
              </a:graphicData>
            </a:graphic>
          </wp:inline>
        </w:drawing>
      </w:r>
    </w:p>
    <w:p>
      <w:pPr>
        <w:jc w:val="left"/>
        <w:spacing w:before="120" w:after="0" w:line="360" w:lineRule="auto"/>
      </w:pPr>
      <w:r>
        <w:rPr>
          <w:rFonts w:ascii="Times New Roman" w:hAnsi="Times New Roman"/>
          <w:b w:val="0"/>
          <w:i w:val="0"/>
          <w:sz w:val="22"/>
        </w:rPr>
        <w:t>Figure 2. Distribution of included studies by neural modality and child age at measurement. Bubble size reflects sample size. Studies are plotted at their reported mean age (or midpoint of age range). Modalities: rsEEG = resting-state EEG; ERP = event-related potential; fNIRS = functional near-infrared spectroscopy; fMRI = functional MRI; DTI = diffusion tensor imaging; sMRI = structural MRI.</w:t>
      </w:r>
    </w:p>
    <w:p>
      <w:r>
        <w:br w:type="page"/>
      </w:r>
    </w:p>
    <w:p>
      <w:pPr>
        <w:jc w:val="center"/>
        <w:spacing w:before="0" w:after="120" w:line="240" w:lineRule="auto"/>
      </w:pPr>
      <w:r>
        <w:drawing>
          <wp:inline xmlns:a="http://schemas.openxmlformats.org/drawingml/2006/main" xmlns:pic="http://schemas.openxmlformats.org/drawingml/2006/picture">
            <wp:extent cx="5580000" cy="3425696"/>
            <wp:docPr id="3" name="Picture 3"/>
            <wp:cNvGraphicFramePr>
              <a:graphicFrameLocks noChangeAspect="1"/>
            </wp:cNvGraphicFramePr>
            <a:graphic>
              <a:graphicData uri="http://schemas.openxmlformats.org/drawingml/2006/picture">
                <pic:pic>
                  <pic:nvPicPr>
                    <pic:cNvPr id="0" name="figure3_effect_direction.png"/>
                    <pic:cNvPicPr/>
                  </pic:nvPicPr>
                  <pic:blipFill>
                    <a:blip r:embed="rId11"/>
                    <a:stretch>
                      <a:fillRect/>
                    </a:stretch>
                  </pic:blipFill>
                  <pic:spPr>
                    <a:xfrm>
                      <a:off x="0" y="0"/>
                      <a:ext cx="5580000" cy="3425696"/>
                    </a:xfrm>
                    <a:prstGeom prst="rect"/>
                  </pic:spPr>
                </pic:pic>
              </a:graphicData>
            </a:graphic>
          </wp:inline>
        </w:drawing>
      </w:r>
    </w:p>
    <w:p>
      <w:pPr>
        <w:jc w:val="left"/>
        <w:spacing w:before="120" w:after="0" w:line="360" w:lineRule="auto"/>
      </w:pPr>
      <w:r>
        <w:rPr>
          <w:rFonts w:ascii="Times New Roman" w:hAnsi="Times New Roman"/>
          <w:b w:val="0"/>
          <w:i w:val="0"/>
          <w:sz w:val="22"/>
        </w:rPr>
        <w:t>Figure 3. Effect direction by neural modality. Each bar represents the proportion of studies within a modality reporting positive, null, or negative associations between higher parental education and more mature or stronger neural indices. Numbers inside bars indicate study counts.</w:t>
      </w:r>
    </w:p>
    <w:p>
      <w:r>
        <w:br w:type="page"/>
      </w:r>
    </w:p>
    <w:p>
      <w:pPr>
        <w:jc w:val="center"/>
        <w:spacing w:before="0" w:after="120" w:line="240" w:lineRule="auto"/>
      </w:pPr>
      <w:r>
        <w:drawing>
          <wp:inline xmlns:a="http://schemas.openxmlformats.org/drawingml/2006/main" xmlns:pic="http://schemas.openxmlformats.org/drawingml/2006/picture">
            <wp:extent cx="5580000" cy="3855539"/>
            <wp:docPr id="4" name="Picture 4"/>
            <wp:cNvGraphicFramePr>
              <a:graphicFrameLocks noChangeAspect="1"/>
            </wp:cNvGraphicFramePr>
            <a:graphic>
              <a:graphicData uri="http://schemas.openxmlformats.org/drawingml/2006/picture">
                <pic:pic>
                  <pic:nvPicPr>
                    <pic:cNvPr id="0" name="figure4_age_timeline.png"/>
                    <pic:cNvPicPr/>
                  </pic:nvPicPr>
                  <pic:blipFill>
                    <a:blip r:embed="rId12"/>
                    <a:stretch>
                      <a:fillRect/>
                    </a:stretch>
                  </pic:blipFill>
                  <pic:spPr>
                    <a:xfrm>
                      <a:off x="0" y="0"/>
                      <a:ext cx="5580000" cy="3855539"/>
                    </a:xfrm>
                    <a:prstGeom prst="rect"/>
                  </pic:spPr>
                </pic:pic>
              </a:graphicData>
            </a:graphic>
          </wp:inline>
        </w:drawing>
      </w:r>
    </w:p>
    <w:p>
      <w:pPr>
        <w:jc w:val="left"/>
        <w:spacing w:before="120" w:after="0" w:line="360" w:lineRule="auto"/>
      </w:pPr>
      <w:r>
        <w:rPr>
          <w:rFonts w:ascii="Times New Roman" w:hAnsi="Times New Roman"/>
          <w:b w:val="0"/>
          <w:i w:val="0"/>
          <w:sz w:val="22"/>
        </w:rPr>
        <w:t>Figure 4. Age at neural measurement across included studies, ordered by modality. Each point represents one study; horizontal bars indicate the full age range sampled. Shading denotes the 0–8 year target window. Studies extending beyond 8 years are included where subgroup analyses or primary effects fell within the target range.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