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spacing w:line="480" w:lineRule="auto"/>
      </w:pPr>
      <w:r>
        <w:rPr>
          <w:rFonts w:ascii="Times New Roman" w:hAnsi="Times New Roman"/>
          <w:rFonts w:ascii="Times New Roman" w:hAnsi="Times New Roman"/>
          <w:b/>
          <w:i w:val="0"/>
          <w:sz w:val="32"/>
        </w:rPr>
        <w:t>Working Memory Training in Healthy Older Adults: A Systematic Review of Transfer Effects, Training Parameters, and Potential Moderating Factors</w:t>
      </w:r>
    </w:p>
    <w:p>
      <w:pPr>
        <w:spacing w:before="0" w:after="120"/>
        <w:jc w:val="center"/>
        <w:spacing w:line="480" w:lineRule="auto"/>
      </w:pPr>
      <w:r>
        <w:rPr>
          <w:rFonts w:ascii="Times New Roman" w:hAnsi="Times New Roman"/>
          <w:rFonts w:ascii="Times New Roman" w:hAnsi="Times New Roman"/>
          <w:b w:val="0"/>
          <w:i w:val="0"/>
          <w:sz w:val="24"/>
        </w:rPr>
        <w:t>[Author names to be added]</w:t>
      </w:r>
    </w:p>
    <w:p>
      <w:pPr>
        <w:spacing w:before="0" w:after="120"/>
        <w:jc w:val="center"/>
        <w:spacing w:line="480" w:lineRule="auto"/>
      </w:pPr>
      <w:r>
        <w:rPr>
          <w:rFonts w:ascii="Times New Roman" w:hAnsi="Times New Roman"/>
          <w:rFonts w:ascii="Times New Roman" w:hAnsi="Times New Roman"/>
          <w:b w:val="0"/>
          <w:i w:val="0"/>
          <w:sz w:val="24"/>
        </w:rPr>
        <w:t>Target journal: Ageing Research Reviews</w:t>
      </w:r>
    </w:p>
    <w:p>
      <w:pPr>
        <w:spacing w:before="0" w:after="120"/>
        <w:jc w:val="center"/>
        <w:spacing w:line="480" w:lineRule="auto"/>
      </w:pPr>
      <w:r>
        <w:rPr>
          <w:rFonts w:ascii="Times New Roman" w:hAnsi="Times New Roman"/>
          <w:rFonts w:ascii="Times New Roman" w:hAnsi="Times New Roman"/>
          <w:b w:val="0"/>
          <w:i w:val="0"/>
          <w:sz w:val="24"/>
        </w:rPr>
        <w:t>Date: 2026-04-06</w:t>
      </w:r>
    </w:p>
    <w:p>
      <w:pPr>
        <w:spacing w:before="0" w:after="120"/>
        <w:jc w:val="center"/>
        <w:spacing w:line="480" w:lineRule="auto"/>
      </w:pPr>
      <w:r>
        <w:rPr>
          <w:rFonts w:ascii="Times New Roman" w:hAnsi="Times New Roman"/>
          <w:rFonts w:ascii="Times New Roman" w:hAnsi="Times New Roman"/>
          <w:b w:val="0"/>
          <w:i w:val="0"/>
          <w:sz w:val="24"/>
        </w:rPr>
        <w:t>Registration: Not pre-registered</w:t>
      </w:r>
    </w:p>
    <w:p>
      <w:r>
        <w:br w:type="page"/>
      </w:r>
    </w:p>
    <w:p>
      <w:pPr>
        <w:spacing w:before="240" w:after="120"/>
        <w:jc w:val="left"/>
        <w:spacing w:line="480" w:lineRule="auto"/>
      </w:pPr>
      <w:r>
        <w:rPr>
          <w:rFonts w:ascii="Times New Roman" w:hAnsi="Times New Roman"/>
          <w:rFonts w:ascii="Times New Roman" w:hAnsi="Times New Roman"/>
          <w:b/>
          <w:i w:val="0"/>
          <w:sz w:val="24"/>
        </w:rPr>
        <w:t>Abstract</w:t>
      </w:r>
    </w:p>
    <w:p>
      <w:pPr>
        <w:spacing w:before="0" w:after="0"/>
        <w:ind w:firstLine="720"/>
        <w:jc w:val="left"/>
        <w:spacing w:line="480" w:lineRule="auto"/>
      </w:pPr>
      <w:r>
        <w:rPr>
          <w:rFonts w:ascii="Times New Roman" w:hAnsi="Times New Roman"/>
          <w:rFonts w:ascii="Times New Roman" w:hAnsi="Times New Roman"/>
          <w:b w:val="0"/>
          <w:i w:val="0"/>
          <w:sz w:val="24"/>
        </w:rPr>
        <w:t>Background:</w:t>
      </w:r>
      <w:r>
        <w:rPr>
          <w:rFonts w:ascii="Times New Roman" w:hAnsi="Times New Roman"/>
          <w:rFonts w:ascii="Times New Roman" w:hAnsi="Times New Roman"/>
          <w:b w:val="0"/>
          <w:i w:val="0"/>
          <w:sz w:val="24"/>
        </w:rPr>
        <w:t xml:space="preserve"> Working memory (WM) training has been proposed as a strategy to mitigate age-related cognitive decline, yet evidence for its effectiveness in producing durable, generalizable gains in healthy older adults remains inconclusive.</w:t>
      </w:r>
    </w:p>
    <w:p>
      <w:pPr>
        <w:spacing w:before="0" w:after="0"/>
        <w:ind w:firstLine="720"/>
        <w:jc w:val="left"/>
        <w:spacing w:line="480" w:lineRule="auto"/>
      </w:pPr>
      <w:r>
        <w:rPr>
          <w:rFonts w:ascii="Times New Roman" w:hAnsi="Times New Roman"/>
          <w:rFonts w:ascii="Times New Roman" w:hAnsi="Times New Roman"/>
          <w:b w:val="0"/>
          <w:i w:val="0"/>
          <w:sz w:val="24"/>
        </w:rPr>
        <w:t>Objective:</w:t>
      </w:r>
      <w:r>
        <w:rPr>
          <w:rFonts w:ascii="Times New Roman" w:hAnsi="Times New Roman"/>
          <w:rFonts w:ascii="Times New Roman" w:hAnsi="Times New Roman"/>
          <w:b w:val="0"/>
          <w:i w:val="0"/>
          <w:sz w:val="24"/>
        </w:rPr>
        <w:t xml:space="preserve"> To systematically review randomized and quasi-randomized controlled trials of WM training in healthy older adults (≥60 years), examining training parameters, transfer effects, and potential moderating factors.</w:t>
      </w:r>
    </w:p>
    <w:p>
      <w:pPr>
        <w:spacing w:before="0" w:after="0"/>
        <w:ind w:firstLine="720"/>
        <w:jc w:val="left"/>
        <w:spacing w:line="480" w:lineRule="auto"/>
      </w:pPr>
      <w:r>
        <w:rPr>
          <w:rFonts w:ascii="Times New Roman" w:hAnsi="Times New Roman"/>
          <w:rFonts w:ascii="Times New Roman" w:hAnsi="Times New Roman"/>
          <w:b w:val="0"/>
          <w:i w:val="0"/>
          <w:sz w:val="24"/>
        </w:rPr>
        <w:t>Methods:</w:t>
      </w:r>
      <w:r>
        <w:rPr>
          <w:rFonts w:ascii="Times New Roman" w:hAnsi="Times New Roman"/>
          <w:rFonts w:ascii="Times New Roman" w:hAnsi="Times New Roman"/>
          <w:b w:val="0"/>
          <w:i w:val="0"/>
          <w:sz w:val="24"/>
        </w:rPr>
        <w:t xml:space="preserve"> We searched four databases (PubMed, PsycINFO, Web of Science, Scopus) from inception to February 2025. Studies were included if they: (1) enrolled healthy older adults aged ≥60 years without neurological or psychiatric diagnoses; (2) employed a WM-targeted cognitive training program with ≥2 sessions; (3) measured at least one cognitive outcome; and (4) used RCT, quasi-RCT, crossover, or single-group pre–post design. Narrative synthesis was conducted due to high methodological heterogeneity.</w:t>
      </w:r>
    </w:p>
    <w:p>
      <w:pPr>
        <w:spacing w:before="0" w:after="0"/>
        <w:ind w:firstLine="720"/>
        <w:jc w:val="left"/>
        <w:spacing w:line="480" w:lineRule="auto"/>
      </w:pPr>
      <w:r>
        <w:rPr>
          <w:rFonts w:ascii="Times New Roman" w:hAnsi="Times New Roman"/>
          <w:rFonts w:ascii="Times New Roman" w:hAnsi="Times New Roman"/>
          <w:b w:val="0"/>
          <w:i w:val="0"/>
          <w:sz w:val="24"/>
        </w:rPr>
        <w:t>Results:</w:t>
      </w:r>
      <w:r>
        <w:rPr>
          <w:rFonts w:ascii="Times New Roman" w:hAnsi="Times New Roman"/>
          <w:rFonts w:ascii="Times New Roman" w:hAnsi="Times New Roman"/>
          <w:b w:val="0"/>
          <w:i w:val="0"/>
          <w:sz w:val="24"/>
        </w:rPr>
        <w:t xml:space="preserve"> Across 56 included studies, near transfer was assessed in 46 studies (82%) and far transfer in 43 studies (77%). Overall, transfer effects were limited and highly variable: only 9 studies (16%) reported consistent positive transfer across all outcomes, 12 studies (21%) showed mixed findings, and 35 studies (63%) found no significant between-group differences on any transfer measure. Note: this count includes one study (Günther et al., 2003) employing a single-group pre–post design without a control condition (ROBINS-I rating: Critical); excluding this study yields 8 Positive studies (14%). Both figures are reported for transparency; primary conclusions are based on the 55 controlled-comparison studies. Among studies assessing near transfer, 30 of 46 (65%) yielded null overall conclusions, indicating that even proximal generalization is not reliably achieved under controlled conditions. These patterns underscore the importance of identifying moderating factors that distinguish studies with and without transfer effects.</w:t>
      </w:r>
    </w:p>
    <w:p>
      <w:pPr>
        <w:spacing w:before="0" w:after="0"/>
        <w:ind w:firstLine="720"/>
        <w:jc w:val="left"/>
        <w:spacing w:line="480" w:lineRule="auto"/>
      </w:pPr>
      <w:r>
        <w:rPr>
          <w:rFonts w:ascii="Times New Roman" w:hAnsi="Times New Roman"/>
          <w:rFonts w:ascii="Times New Roman" w:hAnsi="Times New Roman"/>
          <w:b w:val="0"/>
          <w:i w:val="0"/>
          <w:sz w:val="24"/>
        </w:rPr>
        <w:t>Conclusions:</w:t>
      </w:r>
      <w:r>
        <w:rPr>
          <w:rFonts w:ascii="Times New Roman" w:hAnsi="Times New Roman"/>
          <w:rFonts w:ascii="Times New Roman" w:hAnsi="Times New Roman"/>
          <w:b w:val="0"/>
          <w:i w:val="0"/>
          <w:sz w:val="24"/>
        </w:rPr>
        <w:t xml:space="preserve"> WM training produces reliable improvements on trained tasks in healthy older adults, but evidence for meaningful transfer to untrained tasks remains limited, particularly when active control comparisons are used. Future research should prioritize theoretically grounded task selection, pre-registration, and long-term follow-up.</w:t>
      </w:r>
    </w:p>
    <w:p>
      <w:pPr>
        <w:spacing w:before="0" w:after="240"/>
        <w:jc w:val="left"/>
        <w:spacing w:line="480" w:lineRule="auto"/>
      </w:pPr>
      <w:r>
        <w:rPr>
          <w:rFonts w:ascii="Times New Roman" w:hAnsi="Times New Roman"/>
          <w:rFonts w:ascii="Times New Roman" w:hAnsi="Times New Roman"/>
          <w:b w:val="0"/>
          <w:i/>
          <w:sz w:val="24"/>
        </w:rPr>
        <w:t xml:space="preserve">Keywords: </w:t>
      </w:r>
      <w:r>
        <w:rPr>
          <w:rFonts w:ascii="Times New Roman" w:hAnsi="Times New Roman"/>
          <w:rFonts w:ascii="Times New Roman" w:hAnsi="Times New Roman"/>
          <w:b w:val="0"/>
          <w:i w:val="0"/>
          <w:sz w:val="24"/>
        </w:rPr>
        <w:t>working memory training, cognitive training, older adults, transfer effects, systematic review</w:t>
      </w:r>
    </w:p>
    <w:p>
      <w:r>
        <w:br w:type="page"/>
      </w:r>
    </w:p>
    <w:p>
      <w:pPr>
        <w:spacing w:before="240" w:after="120"/>
        <w:jc w:val="left"/>
        <w:spacing w:line="480" w:lineRule="auto"/>
      </w:pPr>
      <w:r>
        <w:rPr>
          <w:rFonts w:ascii="Times New Roman" w:hAnsi="Times New Roman"/>
          <w:rFonts w:ascii="Times New Roman" w:hAnsi="Times New Roman"/>
          <w:b/>
          <w:i w:val="0"/>
          <w:sz w:val="24"/>
        </w:rPr>
        <w:t>1. Introduction</w:t>
      </w:r>
    </w:p>
    <w:p>
      <w:pPr>
        <w:spacing w:before="0" w:after="0"/>
        <w:ind w:firstLine="720"/>
        <w:jc w:val="left"/>
        <w:spacing w:line="480" w:lineRule="auto"/>
      </w:pPr>
      <w:r>
        <w:rPr>
          <w:rFonts w:ascii="Times New Roman" w:hAnsi="Times New Roman"/>
          <w:rFonts w:ascii="Times New Roman" w:hAnsi="Times New Roman"/>
          <w:b w:val="0"/>
          <w:i w:val="0"/>
          <w:sz w:val="24"/>
        </w:rPr>
        <w:t>Working memory (WM)—the capacity to temporarily maintain and manipulate information in the service of ongoing cognitive tasks—undergoes substantial decline across the adult lifespan (Baddeley, 2000; Park &amp; Festini, 2017). Given that WM capacity is associated with higher-order cognition, including fluid intelligence, language comprehension, and everyday problem-solving (Conway et al., 2003; Süß et al., 2002), its age-related deterioration has motivated extensive interest in cognitive training as a potential intervention.</w:t>
      </w:r>
    </w:p>
    <w:p>
      <w:pPr>
        <w:spacing w:before="0" w:after="0"/>
        <w:ind w:firstLine="720"/>
        <w:jc w:val="left"/>
        <w:spacing w:line="480" w:lineRule="auto"/>
      </w:pPr>
      <w:r>
        <w:rPr>
          <w:rFonts w:ascii="Times New Roman" w:hAnsi="Times New Roman"/>
          <w:rFonts w:ascii="Times New Roman" w:hAnsi="Times New Roman"/>
          <w:b w:val="0"/>
          <w:i w:val="0"/>
          <w:sz w:val="24"/>
        </w:rPr>
        <w:t xml:space="preserve">Over the past two decades, computerized WM training programs—particularly adaptive n-back paradigms—have been widely studied in younger adults (Jaeggi et al., 2008; Melby-Lervåg et al., 2016). The central question driving this research is whether improvements gained through repeated practice on WM tasks </w:t>
      </w:r>
      <w:r>
        <w:rPr>
          <w:rFonts w:ascii="Times New Roman" w:hAnsi="Times New Roman"/>
          <w:rFonts w:ascii="Times New Roman" w:hAnsi="Times New Roman"/>
          <w:b w:val="0"/>
          <w:i/>
          <w:sz w:val="24"/>
        </w:rPr>
        <w:t>transfer</w:t>
      </w:r>
      <w:r>
        <w:rPr>
          <w:rFonts w:ascii="Times New Roman" w:hAnsi="Times New Roman"/>
          <w:rFonts w:ascii="Times New Roman" w:hAnsi="Times New Roman"/>
          <w:b w:val="0"/>
          <w:i w:val="0"/>
          <w:sz w:val="24"/>
        </w:rPr>
        <w:t xml:space="preserve"> to untrained cognitive domains—a phenomenon termed "far transfer." Near transfer, defined as generalization to untrained tasks that share high cognitive process overlap with the training task, has been more consistently observed; evidence for far transfer to measures of fluid intelligence, attentional control, or everyday functioning has been considerably more mixed (Melby-Lervåg &amp; Hulme, 2013; Shipstead et al., 2012).</w:t>
      </w:r>
    </w:p>
    <w:p>
      <w:pPr>
        <w:spacing w:before="0" w:after="0"/>
        <w:ind w:firstLine="720"/>
        <w:jc w:val="left"/>
        <w:spacing w:line="480" w:lineRule="auto"/>
      </w:pPr>
      <w:r>
        <w:rPr>
          <w:rFonts w:ascii="Times New Roman" w:hAnsi="Times New Roman"/>
          <w:rFonts w:ascii="Times New Roman" w:hAnsi="Times New Roman"/>
          <w:b w:val="0"/>
          <w:i w:val="0"/>
          <w:sz w:val="24"/>
        </w:rPr>
        <w:t xml:space="preserve">In older adults, the question of WM training transfer is particularly pertinent, given the potential to attenuate cognitive aging trajectories. Several theoretical frameworks predict age-related differences in training responsiveness. The Compensation-Related Utilization of Neural Circuits Hypothesis (CRUNCH; Reuter-Lorenz &amp; Cappell, 2008) proposes that older adults over-recruit neural resources under moderate cognitive load, potentially limiting further plasticity from training. Conversely, the </w:t>
      </w:r>
      <w:r>
        <w:rPr>
          <w:rFonts w:ascii="Times New Roman" w:hAnsi="Times New Roman"/>
          <w:rFonts w:ascii="Times New Roman" w:hAnsi="Times New Roman"/>
          <w:b w:val="0"/>
          <w:i/>
          <w:sz w:val="24"/>
        </w:rPr>
        <w:t>cognitive reserve</w:t>
      </w:r>
      <w:r>
        <w:rPr>
          <w:rFonts w:ascii="Times New Roman" w:hAnsi="Times New Roman"/>
          <w:rFonts w:ascii="Times New Roman" w:hAnsi="Times New Roman"/>
          <w:b w:val="0"/>
          <w:i w:val="0"/>
          <w:sz w:val="24"/>
        </w:rPr>
        <w:t xml:space="preserve"> hypothesis suggests that individuals with greater reserve may show greater training-induced plasticity (Stern, 2009). The </w:t>
      </w:r>
      <w:r>
        <w:rPr>
          <w:rFonts w:ascii="Times New Roman" w:hAnsi="Times New Roman"/>
          <w:rFonts w:ascii="Times New Roman" w:hAnsi="Times New Roman"/>
          <w:b w:val="0"/>
          <w:i/>
          <w:sz w:val="24"/>
        </w:rPr>
        <w:t>magnification hypothesis</w:t>
      </w:r>
      <w:r>
        <w:rPr>
          <w:rFonts w:ascii="Times New Roman" w:hAnsi="Times New Roman"/>
          <w:rFonts w:ascii="Times New Roman" w:hAnsi="Times New Roman"/>
          <w:b w:val="0"/>
          <w:i w:val="0"/>
          <w:sz w:val="24"/>
        </w:rPr>
        <w:t xml:space="preserve"> predicts larger training benefits for those with lower baseline performance, owing to greater room for improvement (Lindenberger et al., 2008).</w:t>
      </w:r>
    </w:p>
    <w:p>
      <w:pPr>
        <w:spacing w:before="0" w:after="0"/>
        <w:ind w:firstLine="720"/>
        <w:jc w:val="left"/>
        <w:spacing w:line="480" w:lineRule="auto"/>
      </w:pPr>
      <w:r>
        <w:rPr>
          <w:rFonts w:ascii="Times New Roman" w:hAnsi="Times New Roman"/>
          <w:rFonts w:ascii="Times New Roman" w:hAnsi="Times New Roman"/>
          <w:b w:val="0"/>
          <w:i w:val="0"/>
          <w:sz w:val="24"/>
        </w:rPr>
        <w:t>Despite a growing literature, reviews of WM training in older adults have reached divergent conclusions. Lampit et al. (2014) reported modest positive effects of computerized cognitive training across multiple cognitive domains. However, more rigorous meta-analyses by Melby-Lervåg et al. (2016) and Sala &amp; Gobet (2019) found near-zero effects when active control comparisons were used and criterion validity was considered. More recent individual studies continue to yield heterogeneous findings, with variation attributable to differences in training design, participant characteristics, control group type, and outcome measurement.</w:t>
      </w:r>
    </w:p>
    <w:p>
      <w:pPr>
        <w:spacing w:before="0" w:after="0"/>
        <w:ind w:firstLine="720"/>
        <w:jc w:val="left"/>
        <w:spacing w:line="480" w:lineRule="auto"/>
      </w:pPr>
      <w:r>
        <w:rPr>
          <w:rFonts w:ascii="Times New Roman" w:hAnsi="Times New Roman"/>
          <w:rFonts w:ascii="Times New Roman" w:hAnsi="Times New Roman"/>
          <w:b w:val="0"/>
          <w:i w:val="0"/>
          <w:sz w:val="24"/>
        </w:rPr>
        <w:t xml:space="preserve">Several methodological features have been proposed as moderators of training efficacy: (1) training </w:t>
      </w:r>
      <w:r>
        <w:rPr>
          <w:rFonts w:ascii="Times New Roman" w:hAnsi="Times New Roman"/>
          <w:rFonts w:ascii="Times New Roman" w:hAnsi="Times New Roman"/>
          <w:b w:val="0"/>
          <w:i/>
          <w:sz w:val="24"/>
        </w:rPr>
        <w:t>dose</w:t>
      </w:r>
      <w:r>
        <w:rPr>
          <w:rFonts w:ascii="Times New Roman" w:hAnsi="Times New Roman"/>
          <w:rFonts w:ascii="Times New Roman" w:hAnsi="Times New Roman"/>
          <w:b w:val="0"/>
          <w:i w:val="0"/>
          <w:sz w:val="24"/>
        </w:rPr>
        <w:t xml:space="preserve"> (number of sessions, total hours), with longer programs hypothesized to produce larger effects; (2) training </w:t>
      </w:r>
      <w:r>
        <w:rPr>
          <w:rFonts w:ascii="Times New Roman" w:hAnsi="Times New Roman"/>
          <w:rFonts w:ascii="Times New Roman" w:hAnsi="Times New Roman"/>
          <w:b w:val="0"/>
          <w:i/>
          <w:sz w:val="24"/>
        </w:rPr>
        <w:t>adaptivity</w:t>
      </w:r>
      <w:r>
        <w:rPr>
          <w:rFonts w:ascii="Times New Roman" w:hAnsi="Times New Roman"/>
          <w:rFonts w:ascii="Times New Roman" w:hAnsi="Times New Roman"/>
          <w:b w:val="0"/>
          <w:i w:val="0"/>
          <w:sz w:val="24"/>
        </w:rPr>
        <w:t xml:space="preserve">, which adjusts difficulty to individual performance and may promote deeper engagement; (3) the presence of an </w:t>
      </w:r>
      <w:r>
        <w:rPr>
          <w:rFonts w:ascii="Times New Roman" w:hAnsi="Times New Roman"/>
          <w:rFonts w:ascii="Times New Roman" w:hAnsi="Times New Roman"/>
          <w:b w:val="0"/>
          <w:i/>
          <w:sz w:val="24"/>
        </w:rPr>
        <w:t>active control group</w:t>
      </w:r>
      <w:r>
        <w:rPr>
          <w:rFonts w:ascii="Times New Roman" w:hAnsi="Times New Roman"/>
          <w:rFonts w:ascii="Times New Roman" w:hAnsi="Times New Roman"/>
          <w:b w:val="0"/>
          <w:i w:val="0"/>
          <w:sz w:val="24"/>
        </w:rPr>
        <w:t xml:space="preserve">, which controls for non-specific factors such as social contact, motivation, and test familiarity; (4) baseline WM capacity, with low-performers possibly benefiting more; and (5) the </w:t>
      </w:r>
      <w:r>
        <w:rPr>
          <w:rFonts w:ascii="Times New Roman" w:hAnsi="Times New Roman"/>
          <w:rFonts w:ascii="Times New Roman" w:hAnsi="Times New Roman"/>
          <w:b w:val="0"/>
          <w:i/>
          <w:sz w:val="24"/>
        </w:rPr>
        <w:t>cognitive process overlap</w:t>
      </w:r>
      <w:r>
        <w:rPr>
          <w:rFonts w:ascii="Times New Roman" w:hAnsi="Times New Roman"/>
          <w:rFonts w:ascii="Times New Roman" w:hAnsi="Times New Roman"/>
          <w:b w:val="0"/>
          <w:i w:val="0"/>
          <w:sz w:val="24"/>
        </w:rPr>
        <w:t xml:space="preserve"> between training and transfer tasks, conceptualized within Barnett and Ceci's (2002) taxonomy of transfer distance.</w:t>
      </w:r>
    </w:p>
    <w:p>
      <w:pPr>
        <w:spacing w:before="0" w:after="0"/>
        <w:ind w:firstLine="720"/>
        <w:jc w:val="left"/>
        <w:spacing w:line="480" w:lineRule="auto"/>
      </w:pPr>
      <w:r>
        <w:rPr>
          <w:rFonts w:ascii="Times New Roman" w:hAnsi="Times New Roman"/>
          <w:rFonts w:ascii="Times New Roman" w:hAnsi="Times New Roman"/>
          <w:b w:val="0"/>
          <w:i w:val="0"/>
          <w:sz w:val="24"/>
        </w:rPr>
        <w:t>The present systematic review aims to (1) provide a comprehensive, up-to-date synthesis of WM training effects in healthy older adults aged ≥60 years; (2) characterize the range of training parameters employed across studies; and (3) examine evidence for potential moderators of near- and far-transfer outcomes using a narrative synthesis approach. Given demonstrated high methodological heterogeneity, we did not conduct a meta-analysis; instead, we apply vote-counting with evidence-strength classifications to summarize patterns across studies.</w:t>
      </w:r>
    </w:p>
    <w:p>
      <w:pPr>
        <w:spacing w:before="240" w:after="120"/>
        <w:jc w:val="left"/>
        <w:spacing w:line="480" w:lineRule="auto"/>
      </w:pPr>
      <w:r>
        <w:rPr>
          <w:rFonts w:ascii="Times New Roman" w:hAnsi="Times New Roman"/>
          <w:rFonts w:ascii="Times New Roman" w:hAnsi="Times New Roman"/>
          <w:b/>
          <w:i w:val="0"/>
          <w:sz w:val="24"/>
        </w:rPr>
        <w:t>2. Methods</w:t>
      </w:r>
    </w:p>
    <w:p>
      <w:pPr>
        <w:spacing w:before="120" w:after="60"/>
        <w:jc w:val="left"/>
        <w:spacing w:line="480" w:lineRule="auto"/>
      </w:pPr>
      <w:r>
        <w:rPr>
          <w:rFonts w:ascii="Times New Roman" w:hAnsi="Times New Roman"/>
          <w:rFonts w:ascii="Times New Roman" w:hAnsi="Times New Roman"/>
          <w:b/>
          <w:i/>
          <w:sz w:val="24"/>
        </w:rPr>
        <w:t>2.1 Registration and Protocol</w:t>
      </w:r>
    </w:p>
    <w:p>
      <w:pPr>
        <w:spacing w:before="0" w:after="0"/>
        <w:ind w:firstLine="720"/>
        <w:jc w:val="left"/>
        <w:spacing w:line="480" w:lineRule="auto"/>
      </w:pPr>
      <w:r>
        <w:rPr>
          <w:rFonts w:ascii="Times New Roman" w:hAnsi="Times New Roman"/>
          <w:rFonts w:ascii="Times New Roman" w:hAnsi="Times New Roman"/>
          <w:b w:val="0"/>
          <w:i w:val="0"/>
          <w:sz w:val="24"/>
        </w:rPr>
        <w:t>This systematic review was conducted and reported in accordance with the Preferred Reporting Items for Systematic Reviews and Meta-Analyses (PRISMA 2020) guidelines (Page et al., 2021). This review was not pre-registered. A systematic search and screening protocol was followed in accordance with PRISMA 2020 reporting standards.</w:t>
      </w:r>
    </w:p>
    <w:p>
      <w:pPr>
        <w:spacing w:before="120" w:after="60"/>
        <w:jc w:val="left"/>
        <w:spacing w:line="480" w:lineRule="auto"/>
      </w:pPr>
      <w:r>
        <w:rPr>
          <w:rFonts w:ascii="Times New Roman" w:hAnsi="Times New Roman"/>
          <w:rFonts w:ascii="Times New Roman" w:hAnsi="Times New Roman"/>
          <w:b/>
          <w:i/>
          <w:sz w:val="24"/>
        </w:rPr>
        <w:t>2.2 Eligibility Criteria</w:t>
      </w:r>
    </w:p>
    <w:p>
      <w:pPr>
        <w:spacing w:before="0" w:after="0"/>
        <w:ind w:firstLine="720"/>
        <w:jc w:val="left"/>
        <w:spacing w:line="480" w:lineRule="auto"/>
      </w:pPr>
      <w:r>
        <w:rPr>
          <w:rFonts w:ascii="Times New Roman" w:hAnsi="Times New Roman"/>
          <w:rFonts w:ascii="Times New Roman" w:hAnsi="Times New Roman"/>
          <w:b w:val="0"/>
          <w:i w:val="0"/>
          <w:sz w:val="24"/>
        </w:rPr>
        <w:t>Studies were included if they met all of the following criteria, framed within the PICOS framework:</w:t>
      </w:r>
    </w:p>
    <w:p>
      <w:pPr>
        <w:spacing w:before="0" w:after="0"/>
        <w:ind w:firstLine="720"/>
        <w:jc w:val="left"/>
        <w:spacing w:line="480" w:lineRule="auto"/>
      </w:pPr>
      <w:r>
        <w:rPr>
          <w:rFonts w:ascii="Times New Roman" w:hAnsi="Times New Roman"/>
          <w:rFonts w:ascii="Times New Roman" w:hAnsi="Times New Roman"/>
          <w:b w:val="0"/>
          <w:i w:val="0"/>
          <w:sz w:val="24"/>
        </w:rPr>
        <w:t>Population (P): Healthy older adults with mean age ≥60 years. Studies were excluded if they enrolled participants with diagnosed neurological conditions (e.g., Alzheimer's disease, Parkinson's disease, mild cognitive impairment [MCI]), acquired brain injury, major psychiatric disorders, or if the sample mean age was &lt;60 years.</w:t>
      </w:r>
    </w:p>
    <w:p>
      <w:pPr>
        <w:spacing w:before="0" w:after="0"/>
        <w:ind w:firstLine="720"/>
        <w:jc w:val="left"/>
        <w:spacing w:line="480" w:lineRule="auto"/>
      </w:pPr>
      <w:r>
        <w:rPr>
          <w:rFonts w:ascii="Times New Roman" w:hAnsi="Times New Roman"/>
          <w:rFonts w:ascii="Times New Roman" w:hAnsi="Times New Roman"/>
          <w:b w:val="0"/>
          <w:i w:val="0"/>
          <w:sz w:val="24"/>
        </w:rPr>
        <w:t>Intervention (I): A cognitive training program in which working memory was the primary target. The training must have comprised ≥2 sessions. Programs combining WM training with non-cognitive co-interventions (e.g., transcranial direct current stimulation [tDCS], physical exercise, or pharmacological agents) were included, provided that a WM training component was present and clearly described.</w:t>
      </w:r>
    </w:p>
    <w:p>
      <w:pPr>
        <w:spacing w:before="0" w:after="0"/>
        <w:ind w:firstLine="720"/>
        <w:jc w:val="left"/>
        <w:spacing w:line="480" w:lineRule="auto"/>
      </w:pPr>
      <w:r>
        <w:rPr>
          <w:rFonts w:ascii="Times New Roman" w:hAnsi="Times New Roman"/>
          <w:rFonts w:ascii="Times New Roman" w:hAnsi="Times New Roman"/>
          <w:b w:val="0"/>
          <w:i w:val="0"/>
          <w:sz w:val="24"/>
        </w:rPr>
        <w:t>Comparator (C): Any comparison condition was acceptable, including: active control groups (receiving an alternative cognitive activity); passive control groups (no-contact or waitlist); or single-group pre–post designs (no comparator). Studies with active controls were analyzed separately from those with passive controls or single-group designs where relevant.</w:t>
      </w:r>
    </w:p>
    <w:p>
      <w:pPr>
        <w:spacing w:before="0" w:after="0"/>
        <w:ind w:firstLine="720"/>
        <w:jc w:val="left"/>
        <w:spacing w:line="480" w:lineRule="auto"/>
      </w:pPr>
      <w:r>
        <w:rPr>
          <w:rFonts w:ascii="Times New Roman" w:hAnsi="Times New Roman"/>
          <w:rFonts w:ascii="Times New Roman" w:hAnsi="Times New Roman"/>
          <w:b w:val="0"/>
          <w:i w:val="0"/>
          <w:sz w:val="24"/>
        </w:rPr>
        <w:t>Outcomes (O): At least one cognitive outcome must have been assessed. Primary outcomes were: (a) near-transfer effects—performance on untrained WM or closely related tasks (same modality, same cognitive process); (b) far-transfer effects—performance on tasks requiring different cognitive processes (e.g., fluid intelligence, attention, episodic memory, processing speed, everyday functioning). Studies measuring only criterion training task performance without any transfer outcome were excluded.</w:t>
      </w:r>
    </w:p>
    <w:p>
      <w:pPr>
        <w:spacing w:before="0" w:after="0"/>
        <w:ind w:firstLine="720"/>
        <w:jc w:val="left"/>
        <w:spacing w:line="480" w:lineRule="auto"/>
      </w:pPr>
      <w:r>
        <w:rPr>
          <w:rFonts w:ascii="Times New Roman" w:hAnsi="Times New Roman"/>
          <w:rFonts w:ascii="Times New Roman" w:hAnsi="Times New Roman"/>
          <w:b w:val="0"/>
          <w:i w:val="0"/>
          <w:sz w:val="24"/>
        </w:rPr>
        <w:t>Study design (S): Randomized controlled trials (RCTs), quasi-randomized controlled trials, crossover designs, and single-group pre–post designs were all eligible. Review articles, protocols, editorials, commentaries, case reports, and conference abstracts without full-text data were excluded.</w:t>
      </w:r>
    </w:p>
    <w:p>
      <w:pPr>
        <w:spacing w:before="0" w:after="0"/>
        <w:ind w:firstLine="720"/>
        <w:jc w:val="left"/>
        <w:spacing w:line="480" w:lineRule="auto"/>
      </w:pPr>
      <w:r>
        <w:rPr>
          <w:rFonts w:ascii="Times New Roman" w:hAnsi="Times New Roman"/>
          <w:rFonts w:ascii="Times New Roman" w:hAnsi="Times New Roman"/>
          <w:b w:val="0"/>
          <w:i w:val="0"/>
          <w:sz w:val="24"/>
        </w:rPr>
        <w:t>Language: English only.</w:t>
      </w:r>
    </w:p>
    <w:p>
      <w:pPr>
        <w:spacing w:before="120" w:after="60"/>
        <w:jc w:val="left"/>
        <w:spacing w:line="480" w:lineRule="auto"/>
      </w:pPr>
      <w:r>
        <w:rPr>
          <w:rFonts w:ascii="Times New Roman" w:hAnsi="Times New Roman"/>
          <w:rFonts w:ascii="Times New Roman" w:hAnsi="Times New Roman"/>
          <w:b/>
          <w:i/>
          <w:sz w:val="24"/>
        </w:rPr>
        <w:t>2.3 Search Strategy</w:t>
      </w:r>
    </w:p>
    <w:p>
      <w:pPr>
        <w:spacing w:before="0" w:after="0"/>
        <w:ind w:firstLine="720"/>
        <w:jc w:val="left"/>
        <w:spacing w:line="480" w:lineRule="auto"/>
      </w:pPr>
      <w:r>
        <w:rPr>
          <w:rFonts w:ascii="Times New Roman" w:hAnsi="Times New Roman"/>
          <w:rFonts w:ascii="Times New Roman" w:hAnsi="Times New Roman"/>
          <w:b w:val="0"/>
          <w:i w:val="0"/>
          <w:sz w:val="24"/>
        </w:rPr>
        <w:t>We conducted systematic searches in four electronic databases: PubMed/MEDLINE, PsycINFO (via EBSCOhost), Web of Science Core Collection, and Scopus. Searches were last conducted in February 2025. No publication date restriction was applied.</w:t>
      </w:r>
    </w:p>
    <w:p>
      <w:pPr>
        <w:spacing w:before="0" w:after="0"/>
        <w:ind w:firstLine="720"/>
        <w:jc w:val="left"/>
        <w:spacing w:line="480" w:lineRule="auto"/>
      </w:pPr>
      <w:r>
        <w:rPr>
          <w:rFonts w:ascii="Times New Roman" w:hAnsi="Times New Roman"/>
          <w:rFonts w:ascii="Times New Roman" w:hAnsi="Times New Roman"/>
          <w:b w:val="0"/>
          <w:i w:val="0"/>
          <w:sz w:val="24"/>
        </w:rPr>
        <w:t>The search strategy combined three concept blocks: (1) working memory training or cognitive training, (2) older adults or aging population, and (3) cognitive outcomes or transfer effects. The PubMed search string was:</w:t>
      </w:r>
    </w:p>
    <w:p>
      <w:pPr>
        <w:spacing w:after="120"/>
        <w:ind w:left="720" w:right="720"/>
        <w:spacing w:line="480" w:lineRule="auto"/>
      </w:pPr>
      <w:r>
        <w:rPr>
          <w:rFonts w:ascii="Times New Roman" w:hAnsi="Times New Roman"/>
          <w:rFonts w:ascii="Times New Roman" w:hAnsi="Times New Roman"/>
          <w:b w:val="0"/>
          <w:i/>
          <w:sz w:val="22"/>
        </w:rPr>
        <w:t>("working memory training"[tiab] OR "working memory intervention"[tiab] OR "working memory program"[tiab] OR "n-back"[tiab] OR "dual n-back"[tiab] OR "complex span"[tiab] OR "Cogmed"[tiab] OR "cognitive training"[tiab] OR "memory training"[tiab]) AND ("older adult*"[tiab] OR "older people"[tiab] OR "elderly"[tiab] OR "aging"[tiab] OR "ageing"[tiab] OR "aged"[tiab] OR "senior*"[tiab] OR "geriatric"[tiab]) AND ("transfer"[tiab] OR "generali*"[tiab] OR "cognitive function*"[tiab] OR "cognitive performance"[tiab] OR "cognitive outcome*"[tiab] OR "executive function"[tiab] OR "fluid intelligence"[tiab] OR "processing speed"[tiab] OR "episodic memory"[tiab])</w:t>
      </w:r>
    </w:p>
    <w:p>
      <w:pPr>
        <w:spacing w:before="0" w:after="0"/>
        <w:ind w:firstLine="720"/>
        <w:jc w:val="left"/>
        <w:spacing w:line="480" w:lineRule="auto"/>
      </w:pPr>
      <w:r>
        <w:rPr>
          <w:rFonts w:ascii="Times New Roman" w:hAnsi="Times New Roman"/>
          <w:rFonts w:ascii="Times New Roman" w:hAnsi="Times New Roman"/>
          <w:b w:val="0"/>
          <w:i w:val="0"/>
          <w:sz w:val="24"/>
        </w:rPr>
        <w:t>Search strings for PsycINFO, Web of Science, and Scopus were adapted to each database's controlled vocabulary and field codes. Full database-specific search strings are provided in Supplementary Materials.</w:t>
      </w:r>
    </w:p>
    <w:p>
      <w:pPr>
        <w:spacing w:before="120" w:after="60"/>
        <w:jc w:val="left"/>
        <w:spacing w:line="480" w:lineRule="auto"/>
      </w:pPr>
      <w:r>
        <w:rPr>
          <w:rFonts w:ascii="Times New Roman" w:hAnsi="Times New Roman"/>
          <w:rFonts w:ascii="Times New Roman" w:hAnsi="Times New Roman"/>
          <w:b/>
          <w:i/>
          <w:sz w:val="24"/>
        </w:rPr>
        <w:t>2.4 Study Selection</w:t>
      </w:r>
    </w:p>
    <w:p>
      <w:pPr>
        <w:spacing w:before="0" w:after="0"/>
        <w:ind w:firstLine="720"/>
        <w:jc w:val="left"/>
        <w:spacing w:line="480" w:lineRule="auto"/>
      </w:pPr>
      <w:r>
        <w:rPr>
          <w:rFonts w:ascii="Times New Roman" w:hAnsi="Times New Roman"/>
          <w:rFonts w:ascii="Times New Roman" w:hAnsi="Times New Roman"/>
          <w:b w:val="0"/>
          <w:i w:val="0"/>
          <w:sz w:val="24"/>
        </w:rPr>
        <w:t>Search results from all four databases were combined and deduplicated using a Python-based pipeline (fitz and openpyxl libraries), resulting in a deduplicated pool of 4,168 records. Title and abstract screening was conducted in two stages:</w:t>
      </w:r>
    </w:p>
    <w:p>
      <w:pPr>
        <w:spacing w:before="0" w:after="0"/>
        <w:ind w:firstLine="720"/>
        <w:jc w:val="left"/>
        <w:spacing w:line="480" w:lineRule="auto"/>
      </w:pPr>
      <w:r>
        <w:rPr>
          <w:rFonts w:ascii="Times New Roman" w:hAnsi="Times New Roman"/>
          <w:rFonts w:ascii="Times New Roman" w:hAnsi="Times New Roman"/>
          <w:b w:val="0"/>
          <w:i w:val="0"/>
          <w:sz w:val="24"/>
        </w:rPr>
        <w:t>Stage 1 (Automated pre-screening): Keyword-based filtering retained records containing terms related to WM training and older adults (1,789 records passed to Stage 2; 2,379 excluded).</w:t>
      </w:r>
    </w:p>
    <w:p>
      <w:pPr>
        <w:spacing w:before="0" w:after="0"/>
        <w:ind w:firstLine="720"/>
        <w:jc w:val="left"/>
        <w:spacing w:line="480" w:lineRule="auto"/>
      </w:pPr>
      <w:r>
        <w:rPr>
          <w:rFonts w:ascii="Times New Roman" w:hAnsi="Times New Roman"/>
          <w:rFonts w:ascii="Times New Roman" w:hAnsi="Times New Roman"/>
          <w:b w:val="0"/>
          <w:i w:val="0"/>
          <w:sz w:val="24"/>
        </w:rPr>
        <w:t>Stage 2 (Title/abstract review): Two reviewers independently screened all 1,789 records against the PICOS eligibility criteria. Disagreements were resolved through discussion and, where necessary, by re-examining the original record against the eligibility criteria. Stage 2 excluded 1,344 records, retaining 445 for full-text review.</w:t>
      </w:r>
    </w:p>
    <w:p>
      <w:pPr>
        <w:spacing w:before="0" w:after="0"/>
        <w:ind w:firstLine="720"/>
        <w:jc w:val="left"/>
        <w:spacing w:line="480" w:lineRule="auto"/>
      </w:pPr>
      <w:r>
        <w:rPr>
          <w:rFonts w:ascii="Times New Roman" w:hAnsi="Times New Roman"/>
          <w:rFonts w:ascii="Times New Roman" w:hAnsi="Times New Roman"/>
          <w:b w:val="0"/>
          <w:i w:val="0"/>
          <w:sz w:val="24"/>
        </w:rPr>
        <w:t>Stage 3 (Full-text eligibility): Full-text PDFs were obtained for all 445 records. Two reviewers independently assessed each record for eligibility against all inclusion and exclusion criteria. Disagreements were resolved by consensus discussion. This process resulted in 56 studies meeting all eligibility criteria; 389 studies were excluded. Primary reasons for full-text exclusion were: population not meeting age criteria or including clinical samples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12; E1); intervention not targeting working memory as the primary component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 E2); and study design not meeting eligibility criteria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 E4). A PRISMA 2020 flow diagram is presented in Figure 1.</w:t>
      </w:r>
    </w:p>
    <w:p>
      <w:pPr>
        <w:spacing w:before="120" w:after="60"/>
        <w:jc w:val="left"/>
        <w:spacing w:line="480" w:lineRule="auto"/>
      </w:pPr>
      <w:r>
        <w:rPr>
          <w:rFonts w:ascii="Times New Roman" w:hAnsi="Times New Roman"/>
          <w:rFonts w:ascii="Times New Roman" w:hAnsi="Times New Roman"/>
          <w:b/>
          <w:i/>
          <w:sz w:val="24"/>
        </w:rPr>
        <w:t>2.5 Data Extraction</w:t>
      </w:r>
    </w:p>
    <w:p>
      <w:pPr>
        <w:spacing w:before="0" w:after="0"/>
        <w:ind w:firstLine="720"/>
        <w:jc w:val="left"/>
        <w:spacing w:line="480" w:lineRule="auto"/>
      </w:pPr>
      <w:r>
        <w:rPr>
          <w:rFonts w:ascii="Times New Roman" w:hAnsi="Times New Roman"/>
          <w:rFonts w:ascii="Times New Roman" w:hAnsi="Times New Roman"/>
          <w:b w:val="0"/>
          <w:i w:val="0"/>
          <w:sz w:val="24"/>
        </w:rPr>
        <w:t>Data were independently extracted by two reviewers using a standardized extraction form developed in Microsoft Excel (57 fields). Discrepancies were resolved through discussion until consensus was reached. The following information was extracted for each study:</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Bibliographic information:</w:t>
      </w:r>
      <w:r>
        <w:rPr>
          <w:rFonts w:ascii="Times New Roman" w:hAnsi="Times New Roman"/>
          <w:rFonts w:ascii="Times New Roman" w:hAnsi="Times New Roman"/>
          <w:b w:val="0"/>
          <w:i w:val="0"/>
          <w:sz w:val="24"/>
        </w:rPr>
        <w:t xml:space="preserve"> First author, year, country of study, journal/publication status</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Sample characteristics:</w:t>
      </w:r>
      <w:r>
        <w:rPr>
          <w:rFonts w:ascii="Times New Roman" w:hAnsi="Times New Roman"/>
          <w:rFonts w:ascii="Times New Roman" w:hAnsi="Times New Roman"/>
          <w:b w:val="0"/>
          <w:i w:val="0"/>
          <w:sz w:val="24"/>
        </w:rPr>
        <w:t xml:space="preserve"> Total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training group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control group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mean age, age SD, proportion female, education (years), cognitive screening tool and score</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Training parameters:</w:t>
      </w:r>
      <w:r>
        <w:rPr>
          <w:rFonts w:ascii="Times New Roman" w:hAnsi="Times New Roman"/>
          <w:rFonts w:ascii="Times New Roman" w:hAnsi="Times New Roman"/>
          <w:b w:val="0"/>
          <w:i w:val="0"/>
          <w:sz w:val="24"/>
        </w:rPr>
        <w:t xml:space="preserve"> Training type (n-back, span-based, other), adaptive vs. fixed difficulty, total sessions, session duration (minutes), training weeks, training frequency (sessions/week), training platform/software, setting (laboratory, home-based, mixed), combined intervention (tDCS, TMS, exercise, medication)</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Study design:</w:t>
      </w:r>
      <w:r>
        <w:rPr>
          <w:rFonts w:ascii="Times New Roman" w:hAnsi="Times New Roman"/>
          <w:rFonts w:ascii="Times New Roman" w:hAnsi="Times New Roman"/>
          <w:b w:val="0"/>
          <w:i w:val="0"/>
          <w:sz w:val="24"/>
        </w:rPr>
        <w:t xml:space="preserve"> RCT, quasi-RCT, crossover, single-group pre–post; control group type (active vs. passive)</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Outcomes:</w:t>
      </w:r>
      <w:r>
        <w:rPr>
          <w:rFonts w:ascii="Times New Roman" w:hAnsi="Times New Roman"/>
          <w:rFonts w:ascii="Times New Roman" w:hAnsi="Times New Roman"/>
          <w:b w:val="0"/>
          <w:i w:val="0"/>
          <w:sz w:val="24"/>
        </w:rPr>
        <w:t xml:space="preserve"> Near-transfer assessed (yes/no), near-transfer outcome variables; far-transfer assessed (yes/no), far-transfer outcome variables and domains; follow-up assessment (yes/no), follow-up time point (months)</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Results:</w:t>
      </w:r>
      <w:r>
        <w:rPr>
          <w:rFonts w:ascii="Times New Roman" w:hAnsi="Times New Roman"/>
          <w:rFonts w:ascii="Times New Roman" w:hAnsi="Times New Roman"/>
          <w:b w:val="0"/>
          <w:i w:val="0"/>
          <w:sz w:val="24"/>
        </w:rPr>
        <w:t xml:space="preserve"> Overall between-group conclusion on transfer outcomes (Positive/Null/Mixed), effect size reported (yes/no), Cohen's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if available</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Neuroimaging:</w:t>
      </w:r>
      <w:r>
        <w:rPr>
          <w:rFonts w:ascii="Times New Roman" w:hAnsi="Times New Roman"/>
          <w:rFonts w:ascii="Times New Roman" w:hAnsi="Times New Roman"/>
          <w:b w:val="0"/>
          <w:i w:val="0"/>
          <w:sz w:val="24"/>
        </w:rPr>
        <w:t xml:space="preserve"> Whether neuroimaging outcomes were assessed (yes/no), modality (fMRI, EEG, ERP, other), main findings</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Moderator-related:</w:t>
      </w:r>
      <w:r>
        <w:rPr>
          <w:rFonts w:ascii="Times New Roman" w:hAnsi="Times New Roman"/>
          <w:rFonts w:ascii="Times New Roman" w:hAnsi="Times New Roman"/>
          <w:b w:val="0"/>
          <w:i w:val="0"/>
          <w:sz w:val="24"/>
        </w:rPr>
        <w:t xml:space="preserve"> Baseline WM level (High/Low/not reported); whether explicit moderator effect tests were conducted; direction of significant moderator effects</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Risk of bias:</w:t>
      </w:r>
      <w:r>
        <w:rPr>
          <w:rFonts w:ascii="Times New Roman" w:hAnsi="Times New Roman"/>
          <w:rFonts w:ascii="Times New Roman" w:hAnsi="Times New Roman"/>
          <w:b w:val="0"/>
          <w:i w:val="0"/>
          <w:sz w:val="24"/>
        </w:rPr>
        <w:t xml:space="preserve"> See Section 2.6</w:t>
      </w:r>
    </w:p>
    <w:p>
      <w:pPr>
        <w:spacing w:before="0" w:after="0"/>
        <w:ind w:firstLine="720"/>
        <w:jc w:val="left"/>
        <w:spacing w:line="480" w:lineRule="auto"/>
      </w:pPr>
      <w:r>
        <w:rPr>
          <w:rFonts w:ascii="Times New Roman" w:hAnsi="Times New Roman"/>
          <w:rFonts w:ascii="Times New Roman" w:hAnsi="Times New Roman"/>
          <w:b w:val="0"/>
          <w:i w:val="0"/>
          <w:sz w:val="24"/>
        </w:rPr>
        <w:t>The "Overall Conclusion" field was coded based on between-group differences on transfer outcomes exclusively. Improvements on the trained criterion tasks, which are expected through practice regardless of training mechanism, were not considered in this coding.</w:t>
      </w:r>
    </w:p>
    <w:p>
      <w:pPr>
        <w:spacing w:before="0" w:after="0"/>
        <w:ind w:firstLine="720"/>
        <w:jc w:val="left"/>
        <w:spacing w:line="480" w:lineRule="auto"/>
      </w:pPr>
      <w:r>
        <w:rPr>
          <w:rFonts w:ascii="Times New Roman" w:hAnsi="Times New Roman"/>
          <w:rFonts w:ascii="Times New Roman" w:hAnsi="Times New Roman"/>
          <w:b w:val="0"/>
          <w:i w:val="0"/>
          <w:sz w:val="24"/>
        </w:rPr>
        <w:t>When studies reported multiple experiments or training conditions, data were extracted for the primary WM training condition. For studies comparing dose or schedule conditions without a control group (e.g., Booth et al., 2023), the study was included but dose-specific conclusions were not extracted.</w:t>
      </w:r>
    </w:p>
    <w:p>
      <w:pPr>
        <w:spacing w:before="120" w:after="60"/>
        <w:jc w:val="left"/>
        <w:spacing w:line="480" w:lineRule="auto"/>
      </w:pPr>
      <w:r>
        <w:rPr>
          <w:rFonts w:ascii="Times New Roman" w:hAnsi="Times New Roman"/>
          <w:rFonts w:ascii="Times New Roman" w:hAnsi="Times New Roman"/>
          <w:b/>
          <w:i/>
          <w:sz w:val="24"/>
        </w:rPr>
        <w:t>2.6 Quality Assessment</w:t>
      </w:r>
    </w:p>
    <w:p>
      <w:pPr>
        <w:spacing w:before="0" w:after="0"/>
        <w:ind w:firstLine="720"/>
        <w:jc w:val="left"/>
        <w:spacing w:line="480" w:lineRule="auto"/>
      </w:pPr>
      <w:r>
        <w:rPr>
          <w:rFonts w:ascii="Times New Roman" w:hAnsi="Times New Roman"/>
          <w:rFonts w:ascii="Times New Roman" w:hAnsi="Times New Roman"/>
          <w:b w:val="0"/>
          <w:i w:val="0"/>
          <w:sz w:val="24"/>
        </w:rPr>
        <w:t>Risk of bias (RoB) for RCTs was assessed using the Cochrane Risk of Bias 2.0 tool (RoB 2; Sterne et al., 2019), which evaluates five domains: (1) bias arising from the randomization process; (2) bias due to deviations from the intended intervention; (3) bias due to missing outcome data; (4) bias in measurement of the outcome; and (5) bias in selection of the reported result. For non-randomized studies (quasi-RCTs and single-group pre–post designs), the Risk of Bias in Non-Randomized Studies of Interventions (ROBINS-I) tool was applied (Sterne et al., 2016). Each study was assigned an overall RoB rating of Low, Some Concerns, or High.</w:t>
      </w:r>
    </w:p>
    <w:p>
      <w:pPr>
        <w:spacing w:before="0" w:after="0"/>
        <w:ind w:firstLine="720"/>
        <w:jc w:val="left"/>
        <w:spacing w:line="480" w:lineRule="auto"/>
      </w:pPr>
      <w:r>
        <w:rPr>
          <w:rFonts w:ascii="Times New Roman" w:hAnsi="Times New Roman"/>
          <w:rFonts w:ascii="Times New Roman" w:hAnsi="Times New Roman"/>
          <w:b w:val="0"/>
          <w:i w:val="0"/>
          <w:sz w:val="24"/>
        </w:rPr>
        <w:t>Risk of bias assessment revealed that the majority of included RCTs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42, 82%) were rated as "Some Concerns" under RoB 2.0, primarily due to inadequate reporting of randomization procedures, near-universal absence of assessor blinding, and lack of pre-registration. Eight studies (16%) received an overall "Low" risk rating (Tays et al., 2015; Guye et al., 2017; Teixeira-Santos et al., 2022; Verty et al., 2024; Booth et al., 2023; Borella et al., 2025; Pergher et al., 2020; Nguyen et al., 2026). One RCT (McAvinue et al., 2013) was rated "High" due to a 31% attrition rate with no intention-to-treat analysis reported. Among the five non-randomized studies assessed with ROBINS-I, one crossover design was rated "Moderate" (Šimko et al., 2021), three quasi-RCTs were rated "Serious," and one single-group pre–post study (Günther et al., 2003) received a "Critical" rating due to the complete absence of a control condition. Full RoB ratings are presented in Table 2.</w:t>
      </w:r>
    </w:p>
    <w:p>
      <w:pPr>
        <w:spacing w:before="120" w:after="60"/>
        <w:jc w:val="left"/>
        <w:spacing w:line="480" w:lineRule="auto"/>
      </w:pPr>
      <w:r>
        <w:rPr>
          <w:rFonts w:ascii="Times New Roman" w:hAnsi="Times New Roman"/>
          <w:rFonts w:ascii="Times New Roman" w:hAnsi="Times New Roman"/>
          <w:b/>
          <w:i/>
          <w:sz w:val="24"/>
        </w:rPr>
        <w:t>2.7 Data Synthesis</w:t>
      </w:r>
    </w:p>
    <w:p>
      <w:pPr>
        <w:spacing w:before="0" w:after="0"/>
        <w:ind w:firstLine="720"/>
        <w:jc w:val="left"/>
        <w:spacing w:line="480" w:lineRule="auto"/>
      </w:pPr>
      <w:r>
        <w:rPr>
          <w:rFonts w:ascii="Times New Roman" w:hAnsi="Times New Roman"/>
          <w:rFonts w:ascii="Times New Roman" w:hAnsi="Times New Roman"/>
          <w:b w:val="0"/>
          <w:i w:val="0"/>
          <w:sz w:val="24"/>
        </w:rPr>
        <w:t>Due to the high degree of methodological heterogeneity among included studies—encompassing variability in training tasks, outcome measures, control group types, and participant characteristics—quantitative meta-analysis was not appropriate (Borenstein et al., 2009; Higgins et al., 2019). Instead, we adopted a narrative synthesis approach guided by the Synthesis Without Meta-Analysis (SWiM) reporting guidelines (Campbell et al., 2020).</w:t>
      </w:r>
    </w:p>
    <w:p>
      <w:pPr>
        <w:spacing w:before="0" w:after="0"/>
        <w:ind w:firstLine="720"/>
        <w:jc w:val="left"/>
        <w:spacing w:line="480" w:lineRule="auto"/>
      </w:pPr>
      <w:r>
        <w:rPr>
          <w:rFonts w:ascii="Times New Roman" w:hAnsi="Times New Roman"/>
          <w:rFonts w:ascii="Times New Roman" w:hAnsi="Times New Roman"/>
          <w:b w:val="0"/>
          <w:i w:val="0"/>
          <w:sz w:val="24"/>
        </w:rPr>
        <w:t xml:space="preserve">For each study, the direction and significance of primary transfer outcomes were classified as: </w:t>
      </w:r>
      <w:r>
        <w:rPr>
          <w:rFonts w:ascii="Times New Roman" w:hAnsi="Times New Roman"/>
          <w:rFonts w:ascii="Times New Roman" w:hAnsi="Times New Roman"/>
          <w:b w:val="0"/>
          <w:i/>
          <w:sz w:val="24"/>
        </w:rPr>
        <w:t>Positive</w:t>
      </w:r>
      <w:r>
        <w:rPr>
          <w:rFonts w:ascii="Times New Roman" w:hAnsi="Times New Roman"/>
          <w:rFonts w:ascii="Times New Roman" w:hAnsi="Times New Roman"/>
          <w:b w:val="0"/>
          <w:i w:val="0"/>
          <w:sz w:val="24"/>
        </w:rPr>
        <w:t xml:space="preserve"> (statistically significant between-group advantage for the training group on ≥1 transfer domain with no significant reverse effects); </w:t>
      </w:r>
      <w:r>
        <w:rPr>
          <w:rFonts w:ascii="Times New Roman" w:hAnsi="Times New Roman"/>
          <w:rFonts w:ascii="Times New Roman" w:hAnsi="Times New Roman"/>
          <w:b w:val="0"/>
          <w:i/>
          <w:sz w:val="24"/>
        </w:rPr>
        <w:t>Null</w:t>
      </w:r>
      <w:r>
        <w:rPr>
          <w:rFonts w:ascii="Times New Roman" w:hAnsi="Times New Roman"/>
          <w:rFonts w:ascii="Times New Roman" w:hAnsi="Times New Roman"/>
          <w:b w:val="0"/>
          <w:i w:val="0"/>
          <w:sz w:val="24"/>
        </w:rPr>
        <w:t xml:space="preserve"> (no statistically significant between-group difference on any transfer outcome); or </w:t>
      </w:r>
      <w:r>
        <w:rPr>
          <w:rFonts w:ascii="Times New Roman" w:hAnsi="Times New Roman"/>
          <w:rFonts w:ascii="Times New Roman" w:hAnsi="Times New Roman"/>
          <w:b w:val="0"/>
          <w:i/>
          <w:sz w:val="24"/>
        </w:rPr>
        <w:t>Mixed</w:t>
      </w:r>
      <w:r>
        <w:rPr>
          <w:rFonts w:ascii="Times New Roman" w:hAnsi="Times New Roman"/>
          <w:rFonts w:ascii="Times New Roman" w:hAnsi="Times New Roman"/>
          <w:b w:val="0"/>
          <w:i w:val="0"/>
          <w:sz w:val="24"/>
        </w:rPr>
        <w:t xml:space="preserve"> (significant positive effects on some outcomes alongside null effects on others).</w:t>
      </w:r>
    </w:p>
    <w:p>
      <w:pPr>
        <w:spacing w:before="0" w:after="0"/>
        <w:ind w:firstLine="720"/>
        <w:jc w:val="left"/>
        <w:spacing w:line="480" w:lineRule="auto"/>
      </w:pPr>
      <w:r>
        <w:rPr>
          <w:rFonts w:ascii="Times New Roman" w:hAnsi="Times New Roman"/>
          <w:rFonts w:ascii="Times New Roman" w:hAnsi="Times New Roman"/>
          <w:b w:val="0"/>
          <w:i w:val="0"/>
          <w:sz w:val="24"/>
        </w:rPr>
        <w:t xml:space="preserve">Evidence strength for each moderator variable was classified using vote-counting criteria: </w:t>
      </w:r>
      <w:r>
        <w:rPr>
          <w:rFonts w:ascii="Times New Roman" w:hAnsi="Times New Roman"/>
          <w:rFonts w:ascii="Times New Roman" w:hAnsi="Times New Roman"/>
          <w:b w:val="0"/>
          <w:i/>
          <w:sz w:val="24"/>
        </w:rPr>
        <w:t>Consistent</w:t>
      </w:r>
      <w:r>
        <w:rPr>
          <w:rFonts w:ascii="Times New Roman" w:hAnsi="Times New Roman"/>
          <w:rFonts w:ascii="Times New Roman" w:hAnsi="Times New Roman"/>
          <w:b w:val="0"/>
          <w:i w:val="0"/>
          <w:sz w:val="24"/>
        </w:rPr>
        <w:t xml:space="preserve"> (&gt;75% of studies within a subgroup showing the same direction); </w:t>
      </w:r>
      <w:r>
        <w:rPr>
          <w:rFonts w:ascii="Times New Roman" w:hAnsi="Times New Roman"/>
          <w:rFonts w:ascii="Times New Roman" w:hAnsi="Times New Roman"/>
          <w:b w:val="0"/>
          <w:i/>
          <w:sz w:val="24"/>
        </w:rPr>
        <w:t>Moderate</w:t>
      </w:r>
      <w:r>
        <w:rPr>
          <w:rFonts w:ascii="Times New Roman" w:hAnsi="Times New Roman"/>
          <w:rFonts w:ascii="Times New Roman" w:hAnsi="Times New Roman"/>
          <w:b w:val="0"/>
          <w:i w:val="0"/>
          <w:sz w:val="24"/>
        </w:rPr>
        <w:t xml:space="preserve"> (50–75%); </w:t>
      </w:r>
      <w:r>
        <w:rPr>
          <w:rFonts w:ascii="Times New Roman" w:hAnsi="Times New Roman"/>
          <w:rFonts w:ascii="Times New Roman" w:hAnsi="Times New Roman"/>
          <w:b w:val="0"/>
          <w:i/>
          <w:sz w:val="24"/>
        </w:rPr>
        <w:t>Mixed</w:t>
      </w:r>
      <w:r>
        <w:rPr>
          <w:rFonts w:ascii="Times New Roman" w:hAnsi="Times New Roman"/>
          <w:rFonts w:ascii="Times New Roman" w:hAnsi="Times New Roman"/>
          <w:b w:val="0"/>
          <w:i w:val="0"/>
          <w:sz w:val="24"/>
        </w:rPr>
        <w:t xml:space="preserve"> (&lt;50%); </w:t>
      </w:r>
      <w:r>
        <w:rPr>
          <w:rFonts w:ascii="Times New Roman" w:hAnsi="Times New Roman"/>
          <w:rFonts w:ascii="Times New Roman" w:hAnsi="Times New Roman"/>
          <w:b w:val="0"/>
          <w:i/>
          <w:sz w:val="24"/>
        </w:rPr>
        <w:t>Insufficient</w:t>
      </w:r>
      <w:r>
        <w:rPr>
          <w:rFonts w:ascii="Times New Roman" w:hAnsi="Times New Roman"/>
          <w:rFonts w:ascii="Times New Roman" w:hAnsi="Times New Roman"/>
          <w:b w:val="0"/>
          <w:i w:val="0"/>
          <w:sz w:val="24"/>
        </w:rPr>
        <w:t xml:space="preserve"> (&lt;3 studies). For training dose analyses, session-count cutpoints (≤10, 11–25, &gt;25) were selected to approximate terciles of the empirical distribution in the present sample (range: 3–40 sessions; median: 12) and to align with groupings used in prior cognitive training reviews (Lampit et al., 2014).</w:t>
      </w:r>
    </w:p>
    <w:p>
      <w:pPr>
        <w:spacing w:before="0" w:after="0"/>
        <w:ind w:firstLine="720"/>
        <w:jc w:val="left"/>
        <w:spacing w:line="480" w:lineRule="auto"/>
      </w:pPr>
      <w:r>
        <w:rPr>
          <w:rFonts w:ascii="Times New Roman" w:hAnsi="Times New Roman"/>
          <w:rFonts w:ascii="Times New Roman" w:hAnsi="Times New Roman"/>
          <w:b w:val="0"/>
          <w:i w:val="0"/>
          <w:sz w:val="24"/>
        </w:rPr>
        <w:t>One included study (Günther et al., 2003; Seq 35) employed a single-group pre–post design without any control condition. This study was assigned a "Critical" overall ROBINS-I rating. Its "Positive" conclusion reflects pre–post improvement in the absence of a comparator and cannot be attributed to training over and above spontaneous variation or test-retest effects. This study is retained in the synthesis for completeness and to maintain transparency about the full evidence base, but its contribution to subgroup patterns is interpreted with corresponding caution.</w:t>
      </w:r>
    </w:p>
    <w:p>
      <w:pPr>
        <w:spacing w:before="240" w:after="120"/>
        <w:jc w:val="left"/>
        <w:spacing w:line="480" w:lineRule="auto"/>
      </w:pPr>
      <w:r>
        <w:rPr>
          <w:rFonts w:ascii="Times New Roman" w:hAnsi="Times New Roman"/>
          <w:rFonts w:ascii="Times New Roman" w:hAnsi="Times New Roman"/>
          <w:b/>
          <w:i w:val="0"/>
          <w:sz w:val="24"/>
        </w:rPr>
        <w:t>3. Results</w:t>
      </w:r>
    </w:p>
    <w:p>
      <w:pPr>
        <w:spacing w:before="120" w:after="60"/>
        <w:jc w:val="left"/>
        <w:spacing w:line="480" w:lineRule="auto"/>
      </w:pPr>
      <w:r>
        <w:rPr>
          <w:rFonts w:ascii="Times New Roman" w:hAnsi="Times New Roman"/>
          <w:rFonts w:ascii="Times New Roman" w:hAnsi="Times New Roman"/>
          <w:b/>
          <w:i/>
          <w:sz w:val="24"/>
        </w:rPr>
        <w:t>3.1 Study Selection and Overview</w:t>
      </w:r>
    </w:p>
    <w:p>
      <w:pPr>
        <w:spacing w:before="0" w:after="0"/>
        <w:ind w:firstLine="720"/>
        <w:jc w:val="left"/>
        <w:spacing w:line="480" w:lineRule="auto"/>
      </w:pPr>
      <w:r>
        <w:rPr>
          <w:rFonts w:ascii="Times New Roman" w:hAnsi="Times New Roman"/>
          <w:rFonts w:ascii="Times New Roman" w:hAnsi="Times New Roman"/>
          <w:b w:val="0"/>
          <w:i w:val="0"/>
          <w:sz w:val="24"/>
        </w:rPr>
        <w:t>The database searches identified 4,168 unique records after deduplication. Following three-stage screening, 56 studies published between 2003 and 2026 met all inclusion criteria and were included in the final synthesis (see Figure 1 for PRISMA flow diagram).</w:t>
      </w:r>
    </w:p>
    <w:p>
      <w:pPr>
        <w:spacing w:before="0" w:after="0"/>
        <w:ind w:firstLine="720"/>
        <w:jc w:val="left"/>
        <w:spacing w:line="480" w:lineRule="auto"/>
      </w:pPr>
      <w:r>
        <w:rPr>
          <w:rFonts w:ascii="Times New Roman" w:hAnsi="Times New Roman"/>
          <w:rFonts w:ascii="Times New Roman" w:hAnsi="Times New Roman"/>
          <w:b w:val="0"/>
          <w:i w:val="0"/>
          <w:sz w:val="24"/>
        </w:rPr>
        <w:t>The 56 included studies were conducted across 17 countries, with the highest concentrations in the United States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19, 34%), Italy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8, 14%), Germany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8, 14%), and Switzerland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 7%). Publication years ranged from 2003 to 2026, with notable increases from 2013 onward; the most productive years were 2020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2014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6), and 2017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6) (see Figure 2).</w:t>
      </w:r>
    </w:p>
    <w:p>
      <w:pPr>
        <w:spacing w:before="0" w:after="0"/>
        <w:ind w:firstLine="720"/>
        <w:jc w:val="left"/>
        <w:spacing w:line="480" w:lineRule="auto"/>
      </w:pPr>
      <w:r>
        <w:rPr>
          <w:rFonts w:ascii="Times New Roman" w:hAnsi="Times New Roman"/>
          <w:rFonts w:ascii="Times New Roman" w:hAnsi="Times New Roman"/>
          <w:b w:val="0"/>
          <w:i w:val="0"/>
          <w:sz w:val="24"/>
        </w:rPr>
        <w:t xml:space="preserve">A total of 53 studies reported sufficient data to estimate total sample size. Across these, combined sample sizes ranged from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 9 (Vesterinen et al., 2018) to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 487 (Zelinski et al., 2014), with a median of 54 participants. Mean participant age across studies ranged from 61.9 years (Pergher et al., 2020) to 90.0 years (Goghari et al., 2017), with a median mean age of 69.7 years. A total of 48 studies (86%) included participants in the "young-old" category (mean age ≤75 years); 8 studies (14%) focused on "old-old" samples (mean age &gt;75 years).</w:t>
      </w:r>
    </w:p>
    <w:p>
      <w:pPr>
        <w:spacing w:before="0" w:after="0"/>
        <w:ind w:firstLine="720"/>
        <w:jc w:val="left"/>
        <w:spacing w:line="480" w:lineRule="auto"/>
      </w:pPr>
      <w:r>
        <w:rPr>
          <w:rFonts w:ascii="Times New Roman" w:hAnsi="Times New Roman"/>
          <w:rFonts w:ascii="Times New Roman" w:hAnsi="Times New Roman"/>
          <w:b w:val="0"/>
          <w:i w:val="0"/>
          <w:sz w:val="24"/>
        </w:rPr>
        <w:t>The majority of studies employed n-back training paradigms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44, 79%), followed by span-based tasks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5, 9%), and composite or alternative WM programs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12%). Nearly all studies used adaptive training protocols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45, 80%). Common training platforms included Cogmed, BrainStim, and custom research programs. Training settings were predominantly laboratory-based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39, 70%), with a minority employing home-based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18%) or mixed formats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12%).</w:t>
      </w:r>
    </w:p>
    <w:p>
      <w:pPr>
        <w:spacing w:before="0" w:after="0"/>
        <w:ind w:firstLine="720"/>
        <w:jc w:val="left"/>
        <w:spacing w:line="480" w:lineRule="auto"/>
      </w:pPr>
      <w:r>
        <w:rPr>
          <w:rFonts w:ascii="Times New Roman" w:hAnsi="Times New Roman"/>
          <w:rFonts w:ascii="Times New Roman" w:hAnsi="Times New Roman"/>
          <w:b w:val="0"/>
          <w:i w:val="0"/>
          <w:sz w:val="24"/>
        </w:rPr>
        <w:t>Fifty-one studies (91%) were randomized controlled trials (RCTs); 3 (5%) were quasi-RCTs; 1 (2%) used a crossover design; and 1 (2%) was a single-group pre–post design. Forty-six studies (82%) included an active control group; 10 studies (18%) used passive controls or no-contact designs.</w:t>
      </w:r>
    </w:p>
    <w:p>
      <w:pPr>
        <w:spacing w:before="0" w:after="0"/>
        <w:ind w:firstLine="720"/>
        <w:jc w:val="left"/>
        <w:spacing w:line="480" w:lineRule="auto"/>
      </w:pPr>
      <w:r>
        <w:rPr>
          <w:rFonts w:ascii="Times New Roman" w:hAnsi="Times New Roman"/>
          <w:rFonts w:ascii="Times New Roman" w:hAnsi="Times New Roman"/>
          <w:b w:val="0"/>
          <w:i w:val="0"/>
          <w:sz w:val="24"/>
        </w:rPr>
        <w:t xml:space="preserve">Fourteen studies (25%) combined WM training with a co-intervention, most commonly transcranial direct current stimulation (tDCS;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studies with some form of brain stimulation), physical exercise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11), or pharmacological agents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Fifteen studies (27%) implemented pure WM training without any co-intervention.</w:t>
      </w:r>
    </w:p>
    <w:p>
      <w:pPr>
        <w:spacing w:before="0" w:after="0"/>
        <w:ind w:firstLine="720"/>
        <w:jc w:val="left"/>
        <w:spacing w:line="480" w:lineRule="auto"/>
      </w:pPr>
      <w:r>
        <w:rPr>
          <w:rFonts w:ascii="Times New Roman" w:hAnsi="Times New Roman"/>
          <w:rFonts w:ascii="Times New Roman" w:hAnsi="Times New Roman"/>
          <w:b w:val="0"/>
          <w:i w:val="0"/>
          <w:sz w:val="24"/>
        </w:rPr>
        <w:t>Risk of bias assessment indicated that 8 of 51 RCTs (16%) were rated Low overall, 42 (82%) received Some Concerns ratings, and 1 (McAvinue et al., 2013) was rated High due to high attrition without ITT analysis. The predominant sources of bias were inadequate randomization reporting, absence of assessor blinding, and lack of pre-registration—limitations that are characteristic of the cognitive training literature broadly (see Table 2).</w:t>
      </w:r>
    </w:p>
    <w:p>
      <w:pPr>
        <w:spacing w:before="0" w:after="0"/>
        <w:ind w:firstLine="720"/>
        <w:jc w:val="left"/>
        <w:spacing w:line="480" w:lineRule="auto"/>
      </w:pPr>
      <w:r>
        <w:rPr>
          <w:rFonts w:ascii="Times New Roman" w:hAnsi="Times New Roman"/>
          <w:rFonts w:ascii="Times New Roman" w:hAnsi="Times New Roman"/>
          <w:b w:val="0"/>
          <w:i w:val="0"/>
          <w:sz w:val="24"/>
        </w:rPr>
        <w:t>As a descriptive sensitivity check, transfer outcome distributions were compared between Low-RoB studies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8) and Some Concerns studies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42). Among Low-RoB RCTs, conclusions were: Positive = 4 (50%), Null = 3 (37.5%), Mixed = 1 (12.5%). Among Some Concerns RCTs: Positive = 4 (10%), Null = 32 (76%), Mixed = 6 (14%). This pattern suggests that studies with more rigorous designs yielded a notably higher proportion of positive conclusions (50% vs. 10%), though the Low-RoB subsample is too small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8) to support causal inference. Formal meta-regression is not feasible given the absence of extractable effect sizes across the full sample; this relationship should be tested systematically in future quantitative syntheses.</w:t>
      </w:r>
    </w:p>
    <w:p>
      <w:pPr>
        <w:spacing w:before="120" w:after="60"/>
        <w:jc w:val="left"/>
        <w:spacing w:line="480" w:lineRule="auto"/>
      </w:pPr>
      <w:r>
        <w:rPr>
          <w:rFonts w:ascii="Times New Roman" w:hAnsi="Times New Roman"/>
          <w:rFonts w:ascii="Times New Roman" w:hAnsi="Times New Roman"/>
          <w:b/>
          <w:i/>
          <w:sz w:val="24"/>
        </w:rPr>
        <w:t>3.2 Near Transfer Effects</w:t>
      </w:r>
    </w:p>
    <w:p>
      <w:pPr>
        <w:spacing w:before="0" w:after="0"/>
        <w:ind w:firstLine="720"/>
        <w:jc w:val="left"/>
        <w:spacing w:line="480" w:lineRule="auto"/>
      </w:pPr>
      <w:r>
        <w:rPr>
          <w:rFonts w:ascii="Times New Roman" w:hAnsi="Times New Roman"/>
          <w:rFonts w:ascii="Times New Roman" w:hAnsi="Times New Roman"/>
          <w:b w:val="0"/>
          <w:i/>
          <w:sz w:val="24"/>
        </w:rPr>
        <w:t>Note: The "overall conclusion" classification reflects the aggregate pattern across all reported transfer outcomes (near and far combined). A near-transfer-specific conclusion field was not coded; readers should interpret near transfer findings in this section accordingly.</w:t>
      </w:r>
    </w:p>
    <w:p>
      <w:pPr>
        <w:spacing w:before="0" w:after="0"/>
        <w:ind w:firstLine="720"/>
        <w:jc w:val="left"/>
        <w:spacing w:line="480" w:lineRule="auto"/>
      </w:pPr>
      <w:r>
        <w:rPr>
          <w:rFonts w:ascii="Times New Roman" w:hAnsi="Times New Roman"/>
          <w:rFonts w:ascii="Times New Roman" w:hAnsi="Times New Roman"/>
          <w:b w:val="0"/>
          <w:i w:val="0"/>
          <w:sz w:val="24"/>
        </w:rPr>
        <w:t xml:space="preserve">Near transfer was assessed in 46 of 56 included studies (82%), making it the most commonly evaluated outcome domain. Near-transfer measures included untrained working memory variants such as digit span, Corsi block tasks, letter-number sequencing, and alternative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-back versions—tasks sharing high cognitive process overlap with the training paradigm (Barnett &amp; Ceci, 2002). Far-transfer measures spanned fluid intelligence (Raven's Progressive Matrices, Cattell Culture-Fair Test), executive functions (Stroop, Trail Making Test, task-switching), episodic memory (story recall, word list learning), processing speed, and everyday cognitive functioning (IADL composites, prospective memory). Specific outcome measures for each study are reported in Table 1; a detailed per-study listing of near- and far-transfer tasks is provided in Supplementary Table S1.</w:t>
      </w:r>
    </w:p>
    <w:p>
      <w:pPr>
        <w:spacing w:before="0" w:after="0"/>
        <w:ind w:firstLine="720"/>
        <w:jc w:val="left"/>
        <w:spacing w:line="480" w:lineRule="auto"/>
      </w:pPr>
      <w:r>
        <w:rPr>
          <w:rFonts w:ascii="Times New Roman" w:hAnsi="Times New Roman"/>
          <w:rFonts w:ascii="Times New Roman" w:hAnsi="Times New Roman"/>
          <w:b w:val="0"/>
          <w:i w:val="0"/>
          <w:sz w:val="24"/>
        </w:rPr>
        <w:t>Despite the theoretical expectation that near transfer should be the most reliably obtained benefit of WM training, findings were notably inconsistent. Of the 46 studies that included near transfer assessment, 9 (20%) reported significant training-related improvements relative to control conditions across all reported outcomes, 7 (15%) showed mixed findings (i.e., significant effects on some but not all near transfer measures), and 30 (65%) found no significant between-group differences.</w:t>
      </w:r>
    </w:p>
    <w:p>
      <w:pPr>
        <w:spacing w:before="0" w:after="0"/>
        <w:ind w:firstLine="720"/>
        <w:jc w:val="left"/>
        <w:spacing w:line="480" w:lineRule="auto"/>
      </w:pPr>
      <w:r>
        <w:rPr>
          <w:rFonts w:ascii="Times New Roman" w:hAnsi="Times New Roman"/>
          <w:rFonts w:ascii="Times New Roman" w:hAnsi="Times New Roman"/>
          <w:b w:val="0"/>
          <w:i w:val="0"/>
          <w:sz w:val="24"/>
        </w:rPr>
        <w:t>It should be noted that the overall conclusion field was coded based solely on between-group differences on transfer outcomes; improvements on criterion training tasks were not included in this judgment. Studies using passive control conditions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within the near-transfer subsample) tended to report more favorable near transfer outcomes (Positive: 38%; Null: 25%; Mixed: 38%) compared to those using active controls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38; Positive: 16%; Null: 74%; Mixed: 11%), consistent with the interpretation that non-specific motivational and engagement factors contribute to apparent training gains (Melby-Lervåg et al., 2016).</w:t>
      </w:r>
    </w:p>
    <w:p>
      <w:pPr>
        <w:spacing w:before="0" w:after="0"/>
        <w:ind w:firstLine="720"/>
        <w:jc w:val="left"/>
        <w:spacing w:line="480" w:lineRule="auto"/>
      </w:pPr>
      <w:r>
        <w:rPr>
          <w:rFonts w:ascii="Times New Roman" w:hAnsi="Times New Roman"/>
          <w:rFonts w:ascii="Times New Roman" w:hAnsi="Times New Roman"/>
          <w:b w:val="0"/>
          <w:i w:val="0"/>
          <w:sz w:val="24"/>
        </w:rPr>
        <w:t xml:space="preserve">Among the 56 included studies, 24 (43%) reported some form of standardized effect size for at least one transfer outcome; of these, 10 provided a numeric Cohen's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value extractable from the text. Across these 10 studies,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for transfer outcomes ranged from 0.22 to 1.73 (median ≈ 0.95). Critically, this range does not represent the full literature: Null-conclusion studies were underrepresented among those reporting effect sizes (only 3 of 10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-reporting studies concluded Null), suggesting reporting selectivity. Within the 10 studies, Null studies reported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 0.22–0.95, Positive studies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 0.95–1.58, and Mixed studies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 0.23–1.73—with substantial overlap across conclusion categories, consistent with the argument that categorical classifications alone are an imprecise proxy for effect magnitude. The remaining 46 studies did not provide sufficient data for effect size computation; this systematic underreporting limits quantitative synthesis and represents a major limitation of the field (see Section 4.5). These caveats underscore the need to identify moderating factors that can account for outcome variability across studies.</w:t>
      </w:r>
    </w:p>
    <w:p>
      <w:pPr>
        <w:spacing w:before="0" w:after="0"/>
        <w:ind w:firstLine="720"/>
        <w:jc w:val="left"/>
        <w:spacing w:line="480" w:lineRule="auto"/>
      </w:pPr>
      <w:r>
        <w:rPr>
          <w:rFonts w:ascii="Times New Roman" w:hAnsi="Times New Roman"/>
          <w:rFonts w:ascii="Times New Roman" w:hAnsi="Times New Roman"/>
          <w:b w:val="0"/>
          <w:i w:val="0"/>
          <w:sz w:val="24"/>
        </w:rPr>
        <w:t>The variability in near transfer outcomes across studies suggests that factors beyond training exposure per se—including participant characteristics, control group type, and training design features—play a meaningful moderating role (see Section 3.4).</w:t>
      </w:r>
    </w:p>
    <w:p>
      <w:pPr>
        <w:spacing w:before="120" w:after="60"/>
        <w:jc w:val="left"/>
        <w:spacing w:line="480" w:lineRule="auto"/>
      </w:pPr>
      <w:r>
        <w:rPr>
          <w:rFonts w:ascii="Times New Roman" w:hAnsi="Times New Roman"/>
          <w:rFonts w:ascii="Times New Roman" w:hAnsi="Times New Roman"/>
          <w:b/>
          <w:i/>
          <w:sz w:val="24"/>
        </w:rPr>
        <w:t>3.3 Far Transfer Effects</w:t>
      </w:r>
    </w:p>
    <w:p>
      <w:pPr>
        <w:spacing w:after="120"/>
        <w:ind w:left="720" w:right="720"/>
        <w:spacing w:line="480" w:lineRule="auto"/>
      </w:pPr>
      <w:r>
        <w:rPr>
          <w:rFonts w:ascii="Times New Roman" w:hAnsi="Times New Roman"/>
          <w:rFonts w:ascii="Times New Roman" w:hAnsi="Times New Roman"/>
          <w:b w:val="0"/>
          <w:i/>
          <w:sz w:val="22"/>
        </w:rPr>
        <w:t>*Note. Outcome domains below were classified by the reviewer based on reported transfer measures, cross-referenced with the far-transfer domain classification field in the extraction table. Where the domain field was incomplete, classification followed the variable descriptions in the far-transfer outcome variable field.*</w:t>
      </w:r>
    </w:p>
    <w:p>
      <w:pPr>
        <w:spacing w:before="0" w:after="0"/>
        <w:ind w:firstLine="720"/>
        <w:jc w:val="left"/>
        <w:spacing w:line="480" w:lineRule="auto"/>
      </w:pPr>
      <w:r>
        <w:rPr>
          <w:rFonts w:ascii="Times New Roman" w:hAnsi="Times New Roman"/>
          <w:rFonts w:ascii="Times New Roman" w:hAnsi="Times New Roman"/>
          <w:b w:val="0"/>
          <w:i w:val="0"/>
          <w:sz w:val="24"/>
        </w:rPr>
        <w:t>Far transfer was assessed in 43 of 56 included studies (77%). Far transfer measures spanned multiple cognitive domains, including fluid intelligence, executive function (inhibitory control, task-switching, attention, processing speed), episodic memory, and everyday functioning. Consistent with prior meta-analytic evidence (Melby-Lervåg et al., 2016; Sala &amp; Gobet, 2019), far transfer effects were limited overall: 29 of 43 studies (67%) with far transfer assessment reported null overall conclusions, 9 (21%) reported positive outcomes, and 5 (12%) reported mixed results.</w:t>
      </w:r>
    </w:p>
    <w:p>
      <w:pPr>
        <w:spacing w:before="120" w:after="60"/>
        <w:jc w:val="left"/>
        <w:spacing w:line="480" w:lineRule="auto"/>
      </w:pPr>
      <w:r>
        <w:rPr>
          <w:rFonts w:ascii="Times New Roman" w:hAnsi="Times New Roman"/>
          <w:rFonts w:ascii="Times New Roman" w:hAnsi="Times New Roman"/>
          <w:b w:val="0"/>
          <w:i/>
          <w:sz w:val="24"/>
        </w:rPr>
        <w:t>3.3.1 Fluid Intelligence</w:t>
      </w:r>
    </w:p>
    <w:p>
      <w:pPr>
        <w:spacing w:before="0" w:after="0"/>
        <w:ind w:firstLine="720"/>
        <w:jc w:val="left"/>
        <w:spacing w:line="480" w:lineRule="auto"/>
      </w:pPr>
      <w:r>
        <w:rPr>
          <w:rFonts w:ascii="Times New Roman" w:hAnsi="Times New Roman"/>
          <w:rFonts w:ascii="Times New Roman" w:hAnsi="Times New Roman"/>
          <w:b w:val="0"/>
          <w:i w:val="0"/>
          <w:sz w:val="24"/>
        </w:rPr>
        <w:t>Fluid intelligence was assessed as a far-transfer outcome in 15 studies (35% of far-transfer studies), most commonly using Raven's Progressive Matrices or the Cattell Culture-Fair Test. Positive overall conclusions were rare in this domain: only 2 studies—Teixeira-Santos et al. (2022), who combined WM training with tDCS, and Matysiak et al. (2019), who used an extensive 25-session adaptive program with exercise—reported significant improvements on fluid intelligence measures relative to control. One study (Borella et al., 2017) reported mixed findings. The remaining 12 studies found no significant fluid intelligence gains. This pattern converges with meta-analytic conclusions (Melby-Lervåg et al., 2016) that transfer to fluid intelligence is not reliably produced by WM training in older adults.</w:t>
      </w:r>
    </w:p>
    <w:p>
      <w:pPr>
        <w:spacing w:before="120" w:after="60"/>
        <w:jc w:val="left"/>
        <w:spacing w:line="480" w:lineRule="auto"/>
      </w:pPr>
      <w:r>
        <w:rPr>
          <w:rFonts w:ascii="Times New Roman" w:hAnsi="Times New Roman"/>
          <w:rFonts w:ascii="Times New Roman" w:hAnsi="Times New Roman"/>
          <w:b w:val="0"/>
          <w:i/>
          <w:sz w:val="24"/>
        </w:rPr>
        <w:t>3.3.2 Executive Function, Attention, and Processing Speed</w:t>
      </w:r>
    </w:p>
    <w:p>
      <w:pPr>
        <w:spacing w:before="0" w:after="0"/>
        <w:ind w:firstLine="720"/>
        <w:jc w:val="left"/>
        <w:spacing w:line="480" w:lineRule="auto"/>
      </w:pPr>
      <w:r>
        <w:rPr>
          <w:rFonts w:ascii="Times New Roman" w:hAnsi="Times New Roman"/>
          <w:rFonts w:ascii="Times New Roman" w:hAnsi="Times New Roman"/>
          <w:b w:val="0"/>
          <w:i w:val="0"/>
          <w:sz w:val="24"/>
        </w:rPr>
        <w:t>Executive function and related measures (inhibitory control, cognitive flexibility, attention, processing speed) represented the most frequently assessed far-transfer domain, appearing in 31 studies (72% of far-transfer studies). Of these, 7 studies (23%) reported positive conclusions, 4 (13%) reported mixed outcomes, and 20 (65%) found null effects. Positive findings were reported by Salminen et al. (2016; visuospatial skills and spatial n-back), Tays et al. (2015; Stroop inhibition), Matysiak et al. (2019; memory updating, inhibition, attention shifting), Verty et al. (2024; processing speed and attention), Günther et al. (2003; Trail Making Test), Shatil et al. (2014; planning and problem solving), and Nguyen et al. (2026; global executive function). The preponderance of null effects in this domain—even for measures such as inhibition that share moderate process overlap with n-back training—suggests that executive skill improvements do not reliably generalize from WM training.</w:t>
      </w:r>
    </w:p>
    <w:p>
      <w:pPr>
        <w:spacing w:before="120" w:after="60"/>
        <w:jc w:val="left"/>
        <w:spacing w:line="480" w:lineRule="auto"/>
      </w:pPr>
      <w:r>
        <w:rPr>
          <w:rFonts w:ascii="Times New Roman" w:hAnsi="Times New Roman"/>
          <w:rFonts w:ascii="Times New Roman" w:hAnsi="Times New Roman"/>
          <w:b w:val="0"/>
          <w:i/>
          <w:sz w:val="24"/>
        </w:rPr>
        <w:t>3.3.3 Episodic Memory</w:t>
      </w:r>
    </w:p>
    <w:p>
      <w:pPr>
        <w:spacing w:before="0" w:after="0"/>
        <w:ind w:firstLine="720"/>
        <w:jc w:val="left"/>
        <w:spacing w:line="480" w:lineRule="auto"/>
      </w:pPr>
      <w:r>
        <w:rPr>
          <w:rFonts w:ascii="Times New Roman" w:hAnsi="Times New Roman"/>
          <w:rFonts w:ascii="Times New Roman" w:hAnsi="Times New Roman"/>
          <w:b w:val="0"/>
          <w:i w:val="0"/>
          <w:sz w:val="24"/>
        </w:rPr>
        <w:t>Episodic memory was assessed in 13 studies (30% of far-transfer studies). Positive outcomes were observed in 4 studies, mixed in 2, and null in 7. Studies reporting positive or mixed episodic memory effects include Matysiak et al. (2019), Verty et al. (2024), Nguyen et al. (2026), and Buschkuehl et al. (2008; mixed, visual long-term memory). Given the theoretical distance between WM updating and episodic encoding processes, these positive findings may reflect shared attentional resource demand or strategic learning generalization, though evidence remains insufficient to draw firm conclusions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 positive studies).</w:t>
      </w:r>
    </w:p>
    <w:p>
      <w:pPr>
        <w:spacing w:before="120" w:after="60"/>
        <w:jc w:val="left"/>
        <w:spacing w:line="480" w:lineRule="auto"/>
      </w:pPr>
      <w:r>
        <w:rPr>
          <w:rFonts w:ascii="Times New Roman" w:hAnsi="Times New Roman"/>
          <w:rFonts w:ascii="Times New Roman" w:hAnsi="Times New Roman"/>
          <w:b w:val="0"/>
          <w:i/>
          <w:sz w:val="24"/>
        </w:rPr>
        <w:t>3.3.4 Everyday Functioning and Quality of Life</w:t>
      </w:r>
    </w:p>
    <w:p>
      <w:pPr>
        <w:spacing w:before="0" w:after="0"/>
        <w:ind w:firstLine="720"/>
        <w:jc w:val="left"/>
        <w:spacing w:line="480" w:lineRule="auto"/>
      </w:pPr>
      <w:r>
        <w:rPr>
          <w:rFonts w:ascii="Times New Roman" w:hAnsi="Times New Roman"/>
          <w:rFonts w:ascii="Times New Roman" w:hAnsi="Times New Roman"/>
          <w:b w:val="0"/>
          <w:i w:val="0"/>
          <w:sz w:val="24"/>
        </w:rPr>
        <w:t>Everyday functioning, quality of life, and related outcomes were assessed in 9 studies. Only 2 reported positive overall conclusions: Stephens et al. (2016), which used ecologically valid fNIRS tasks and IADL measures, and Nguyen et al. (2026), which measured prospective memory and well-being. Seven studies (78%) found null effects, including studies explicitly designed to target functional outcomes (e.g., Borella et al., 2019; Sun et al., 2018; McAvinue et al., 2013; Goghari et al., 2018; Zinke et al., 2014). Given the substantial process distance between laboratory WM training and everyday cognitive demands, the limited transfer to this domain is consistent with the identical elements framework (Thorndike &amp; Woodworth, 1901).</w:t>
      </w:r>
    </w:p>
    <w:p>
      <w:pPr>
        <w:spacing w:before="120" w:after="60"/>
        <w:jc w:val="left"/>
        <w:spacing w:line="480" w:lineRule="auto"/>
      </w:pPr>
      <w:r>
        <w:rPr>
          <w:rFonts w:ascii="Times New Roman" w:hAnsi="Times New Roman"/>
          <w:rFonts w:ascii="Times New Roman" w:hAnsi="Times New Roman"/>
          <w:b w:val="0"/>
          <w:i/>
          <w:sz w:val="24"/>
        </w:rPr>
        <w:t>3.3.5 Overall Pattern</w:t>
      </w:r>
    </w:p>
    <w:p>
      <w:pPr>
        <w:spacing w:before="0" w:after="0"/>
        <w:ind w:firstLine="720"/>
        <w:jc w:val="left"/>
        <w:spacing w:line="480" w:lineRule="auto"/>
      </w:pPr>
      <w:r>
        <w:rPr>
          <w:rFonts w:ascii="Times New Roman" w:hAnsi="Times New Roman"/>
          <w:rFonts w:ascii="Times New Roman" w:hAnsi="Times New Roman"/>
          <w:b w:val="0"/>
          <w:i w:val="0"/>
          <w:sz w:val="24"/>
        </w:rPr>
        <w:t>Across all far transfer domains, the pattern of findings indicates that transfer is neither uniform nor inevitable. Positive far transfer was most likely to be reported in studies using combined interventions (e.g., WM + tDCS) or extended training programs, though sample sizes within these subgroups are small. It should be noted that for combined-intervention studies, any observed transfer effects cannot be attributed specifically to the WM training component; the co-intervention (tDCS, exercise, pharmacological agent) may independently contribute to cognitive improvement. This confound limits causal attribution and is discussed further in Section 4.3. The degree to which training-induced improvements generalize appears to depend on the cognitive process overlap between the training task and the transfer measure—a dimension examined in detail in Section 3.4.4.</w:t>
      </w:r>
    </w:p>
    <w:p>
      <w:pPr>
        <w:spacing w:before="120" w:after="60"/>
        <w:jc w:val="left"/>
        <w:spacing w:line="480" w:lineRule="auto"/>
      </w:pPr>
      <w:r>
        <w:rPr>
          <w:rFonts w:ascii="Times New Roman" w:hAnsi="Times New Roman"/>
          <w:rFonts w:ascii="Times New Roman" w:hAnsi="Times New Roman"/>
          <w:b/>
          <w:i/>
          <w:sz w:val="24"/>
        </w:rPr>
        <w:t>3.4 Moderators of Transfer Effects</w:t>
      </w:r>
    </w:p>
    <w:p>
      <w:pPr>
        <w:spacing w:before="120" w:after="60"/>
        <w:jc w:val="left"/>
        <w:spacing w:line="480" w:lineRule="auto"/>
      </w:pPr>
      <w:r>
        <w:rPr>
          <w:rFonts w:ascii="Times New Roman" w:hAnsi="Times New Roman"/>
          <w:rFonts w:ascii="Times New Roman" w:hAnsi="Times New Roman"/>
          <w:b w:val="0"/>
          <w:i/>
          <w:sz w:val="24"/>
        </w:rPr>
        <w:t>3.4.1 Baseline Working Memory Ability</w:t>
      </w:r>
    </w:p>
    <w:p>
      <w:pPr>
        <w:spacing w:before="0" w:after="0"/>
        <w:ind w:firstLine="720"/>
        <w:jc w:val="left"/>
        <w:spacing w:line="480" w:lineRule="auto"/>
      </w:pPr>
      <w:r>
        <w:rPr>
          <w:rFonts w:ascii="Times New Roman" w:hAnsi="Times New Roman"/>
          <w:rFonts w:ascii="Times New Roman" w:hAnsi="Times New Roman"/>
          <w:b w:val="0"/>
          <w:i w:val="0"/>
          <w:sz w:val="24"/>
        </w:rPr>
        <w:t>Eight of the 56 included studies formally tested baseline WM capacity as a moderator of training-induced transfer. For the purposes of descriptive subgroup analysis (Table 3), studies were classified as "low baseline WM"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22) if study authors described their sample as having below-average WM capacity, recruited from low-performing strata, or explicitly reported sample WM scores at least 0.5 SD below normative reference values. Studies where baseline WM was not assessed or not reported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32) were coded as "unreported baseline." Only 2 studies were classified as unambiguously "high baseline," precluding meaningful comparison. Results were inconsistent, with evidence supporting both compensatory and magnification accounts.</w:t>
      </w:r>
    </w:p>
    <w:p>
      <w:pPr>
        <w:spacing w:before="0" w:after="0"/>
        <w:ind w:firstLine="720"/>
        <w:jc w:val="left"/>
        <w:spacing w:line="480" w:lineRule="auto"/>
      </w:pPr>
      <w:r>
        <w:rPr>
          <w:rFonts w:ascii="Times New Roman" w:hAnsi="Times New Roman"/>
          <w:rFonts w:ascii="Times New Roman" w:hAnsi="Times New Roman"/>
          <w:b w:val="0"/>
          <w:i w:val="0"/>
          <w:sz w:val="24"/>
        </w:rPr>
        <w:t>Three studies found evidence consistent with the magnification hypothesis—that individuals with lower baseline WM benefit more from training. Zinke et al. (2014; seq25) found that old-old participants with lower initial WM scores showed significantly greater training gains and near-transfer improvements than higher-performing peers. Borella et al. (2017; seq53) found a similar pattern: participants with lower baseline WM demonstrated larger improvements on the training task and some transfer measures relative to high-baseline participants, though this did not translate into a consistent overall positive conclusion. Brambilla et al. (2021; seq54) similarly found greater near-transfer benefit among lower-baseline participants in a tDCS-augmented WM training context.</w:t>
      </w:r>
    </w:p>
    <w:p>
      <w:pPr>
        <w:spacing w:before="0" w:after="0"/>
        <w:ind w:firstLine="720"/>
        <w:jc w:val="left"/>
        <w:spacing w:line="480" w:lineRule="auto"/>
      </w:pPr>
      <w:r>
        <w:rPr>
          <w:rFonts w:ascii="Times New Roman" w:hAnsi="Times New Roman"/>
          <w:rFonts w:ascii="Times New Roman" w:hAnsi="Times New Roman"/>
          <w:b w:val="0"/>
          <w:i w:val="0"/>
          <w:sz w:val="24"/>
        </w:rPr>
        <w:t>Three studies found no significant moderation by baseline WM: Matysiak et al. (2019; seq13), Cantarella et al. (2017; seq30), and Stephens et al. (2017; seq43) all reported null baseline-moderation effects, with transfer outcomes not systematically differing across WM ability levels at baseline.</w:t>
      </w:r>
    </w:p>
    <w:p>
      <w:pPr>
        <w:spacing w:before="0" w:after="0"/>
        <w:ind w:firstLine="720"/>
        <w:jc w:val="left"/>
        <w:spacing w:line="480" w:lineRule="auto"/>
      </w:pPr>
      <w:r>
        <w:rPr>
          <w:rFonts w:ascii="Times New Roman" w:hAnsi="Times New Roman"/>
          <w:rFonts w:ascii="Times New Roman" w:hAnsi="Times New Roman"/>
          <w:b w:val="0"/>
          <w:i w:val="0"/>
          <w:sz w:val="24"/>
        </w:rPr>
        <w:t>Two studies reported exploratory findings without formal moderation tests: Goghari et al. (2017; seq49) and Zelinski et al. (2014; seq57) extracted baseline performance as a covariate but did not report moderator interaction terms.</w:t>
      </w:r>
    </w:p>
    <w:p>
      <w:pPr>
        <w:spacing w:before="0" w:after="0"/>
        <w:ind w:firstLine="720"/>
        <w:jc w:val="left"/>
        <w:spacing w:line="480" w:lineRule="auto"/>
      </w:pPr>
      <w:r>
        <w:rPr>
          <w:rFonts w:ascii="Times New Roman" w:hAnsi="Times New Roman"/>
          <w:rFonts w:ascii="Times New Roman" w:hAnsi="Times New Roman"/>
          <w:b w:val="0"/>
          <w:i w:val="0"/>
          <w:sz w:val="24"/>
        </w:rPr>
        <w:t>Taken together, the evidence regarding baseline WM ability as a moderator remains inconclusive (</w:t>
      </w:r>
      <w:r>
        <w:rPr>
          <w:rFonts w:ascii="Times New Roman" w:hAnsi="Times New Roman"/>
          <w:rFonts w:ascii="Times New Roman" w:hAnsi="Times New Roman"/>
          <w:b w:val="0"/>
          <w:i/>
          <w:sz w:val="24"/>
        </w:rPr>
        <w:t>mixed evidence</w:t>
      </w:r>
      <w:r>
        <w:rPr>
          <w:rFonts w:ascii="Times New Roman" w:hAnsi="Times New Roman"/>
          <w:rFonts w:ascii="Times New Roman" w:hAnsi="Times New Roman"/>
          <w:b w:val="0"/>
          <w:i w:val="0"/>
          <w:sz w:val="24"/>
        </w:rPr>
        <w:t>). The divergence between compensation and magnification effects may reflect a task difficulty interaction: adaptive training protocols that calibrate difficulty to individual performance may disproportionately benefit lower-ability individuals, whereas fixed-difficulty protocols may favor those with sufficient cognitive resources to engage effectively with the demands of training.</w:t>
      </w:r>
    </w:p>
    <w:p>
      <w:pPr>
        <w:spacing w:before="120" w:after="60"/>
        <w:jc w:val="left"/>
        <w:spacing w:line="480" w:lineRule="auto"/>
      </w:pPr>
      <w:r>
        <w:rPr>
          <w:rFonts w:ascii="Times New Roman" w:hAnsi="Times New Roman"/>
          <w:rFonts w:ascii="Times New Roman" w:hAnsi="Times New Roman"/>
          <w:b w:val="0"/>
          <w:i/>
          <w:sz w:val="24"/>
        </w:rPr>
        <w:t>3.4.2 Age Group</w:t>
      </w:r>
    </w:p>
    <w:p>
      <w:pPr>
        <w:spacing w:before="0" w:after="0"/>
        <w:ind w:firstLine="720"/>
        <w:jc w:val="left"/>
        <w:spacing w:line="480" w:lineRule="auto"/>
      </w:pPr>
      <w:r>
        <w:rPr>
          <w:rFonts w:ascii="Times New Roman" w:hAnsi="Times New Roman"/>
          <w:rFonts w:ascii="Times New Roman" w:hAnsi="Times New Roman"/>
          <w:b w:val="0"/>
          <w:i w:val="0"/>
          <w:sz w:val="24"/>
        </w:rPr>
        <w:t>Across the 56 studies, 42 (75%) enrolled samples classified as young-old (mean age ≤75 years), while 14 (25%) enrolled old-old samples (mean age &gt;75 years). Positive overall transfer conclusions were observed in 11 of 42 young-old studies (26%) and 2 of 14 old-old studies (14%). Null conclusions were more prevalent in the old-old group (71%) compared to young-old (60%), though absolute differences were modest.</w:t>
      </w:r>
    </w:p>
    <w:p>
      <w:pPr>
        <w:spacing w:before="0" w:after="0"/>
        <w:ind w:firstLine="720"/>
        <w:jc w:val="left"/>
        <w:spacing w:line="480" w:lineRule="auto"/>
      </w:pPr>
      <w:r>
        <w:rPr>
          <w:rFonts w:ascii="Times New Roman" w:hAnsi="Times New Roman"/>
          <w:rFonts w:ascii="Times New Roman" w:hAnsi="Times New Roman"/>
          <w:b w:val="0"/>
          <w:i w:val="0"/>
          <w:sz w:val="24"/>
        </w:rPr>
        <w:t>Thirteen studies (23%) included formal age subgroup analyses or reported age as a moderator. Among these, the majority found no significant within-sample age moderation of transfer outcomes. Heinzel et al. (2014; seq18) found no age-moderation in a sample spanning 60–79 years. Jaeggi et al. (2020; seq28) and Salminen et al. (2016; seq3) also found comparable transfer across younger and older age strata within their samples.</w:t>
      </w:r>
    </w:p>
    <w:p>
      <w:pPr>
        <w:spacing w:before="0" w:after="0"/>
        <w:ind w:firstLine="720"/>
        <w:jc w:val="left"/>
        <w:spacing w:line="480" w:lineRule="auto"/>
      </w:pPr>
      <w:r>
        <w:rPr>
          <w:rFonts w:ascii="Times New Roman" w:hAnsi="Times New Roman"/>
          <w:rFonts w:ascii="Times New Roman" w:hAnsi="Times New Roman"/>
          <w:b w:val="0"/>
          <w:i w:val="0"/>
          <w:sz w:val="24"/>
        </w:rPr>
        <w:t>The Borella research group's studies on old-old adults (mean age 75–87 years; seq15, seq19, seq48) provide a partial exception: these studies using brief span-based training with Italian community-dwelling adults reported near-transfer maintenance at 6–9 month follow-up in old-old participants, though overall between-group transfer conclusions remained null or mixed when compared to active controls.</w:t>
      </w:r>
    </w:p>
    <w:p>
      <w:pPr>
        <w:spacing w:before="0" w:after="0"/>
        <w:ind w:firstLine="720"/>
        <w:jc w:val="left"/>
        <w:spacing w:line="480" w:lineRule="auto"/>
      </w:pPr>
      <w:r>
        <w:rPr>
          <w:rFonts w:ascii="Times New Roman" w:hAnsi="Times New Roman"/>
          <w:rFonts w:ascii="Times New Roman" w:hAnsi="Times New Roman"/>
          <w:b w:val="0"/>
          <w:i w:val="0"/>
          <w:sz w:val="24"/>
        </w:rPr>
        <w:t xml:space="preserve">Thirteen studies with age subgroup analyses reported mixed findings overall, with some indicating smaller transfer in older strata (consistent with CRUNCH predictions) and others finding no age moderation within the ≥60 years range. Evidence for age as a moderator is therefore classified as </w:t>
      </w:r>
      <w:r>
        <w:rPr>
          <w:rFonts w:ascii="Times New Roman" w:hAnsi="Times New Roman"/>
          <w:rFonts w:ascii="Times New Roman" w:hAnsi="Times New Roman"/>
          <w:b w:val="0"/>
          <w:i/>
          <w:sz w:val="24"/>
        </w:rPr>
        <w:t>mixed</w:t>
      </w:r>
      <w:r>
        <w:rPr>
          <w:rFonts w:ascii="Times New Roman" w:hAnsi="Times New Roman"/>
          <w:rFonts w:ascii="Times New Roman" w:hAnsi="Times New Roman"/>
          <w:b w:val="0"/>
          <w:i w:val="0"/>
          <w:sz w:val="24"/>
        </w:rPr>
        <w:t>, and the limited number of studies focusing exclusively on the old-old population (&gt;75 years) constrains firm conclusions.</w:t>
      </w:r>
    </w:p>
    <w:p>
      <w:pPr>
        <w:spacing w:before="120" w:after="60"/>
        <w:jc w:val="left"/>
        <w:spacing w:line="480" w:lineRule="auto"/>
      </w:pPr>
      <w:r>
        <w:rPr>
          <w:rFonts w:ascii="Times New Roman" w:hAnsi="Times New Roman"/>
          <w:rFonts w:ascii="Times New Roman" w:hAnsi="Times New Roman"/>
          <w:b w:val="0"/>
          <w:i/>
          <w:sz w:val="24"/>
        </w:rPr>
        <w:t>3.4.3 Cognitive Process Overlap</w:t>
      </w:r>
    </w:p>
    <w:p>
      <w:pPr>
        <w:spacing w:before="0" w:after="0"/>
        <w:ind w:firstLine="720"/>
        <w:jc w:val="left"/>
        <w:spacing w:line="480" w:lineRule="auto"/>
      </w:pPr>
      <w:r>
        <w:rPr>
          <w:rFonts w:ascii="Times New Roman" w:hAnsi="Times New Roman"/>
          <w:rFonts w:ascii="Times New Roman" w:hAnsi="Times New Roman"/>
          <w:b w:val="0"/>
          <w:i w:val="0"/>
          <w:sz w:val="24"/>
        </w:rPr>
        <w:t>Cognitive process overlap between training tasks and transfer outcomes was operationalized following Barnett and Ceci's (2002) taxonomy of transfer distance:</w:t>
      </w:r>
    </w:p>
    <w:p>
      <w:pPr>
        <w:spacing w:before="0" w:after="0"/>
        <w:ind w:firstLine="720"/>
        <w:jc w:val="left"/>
        <w:spacing w:line="480" w:lineRule="auto"/>
      </w:pPr>
      <w:r>
        <w:rPr>
          <w:rFonts w:ascii="Times New Roman" w:hAnsi="Times New Roman"/>
          <w:rFonts w:ascii="Times New Roman" w:hAnsi="Times New Roman"/>
          <w:b w:val="0"/>
          <w:i w:val="0"/>
          <w:sz w:val="24"/>
        </w:rPr>
        <w:t>- High overlap: Transfer tasks requiring the same WM storage and updating mechanisms as the training task (e.g., alternative verbal or spatial WM span tasks, other n-back variants), engaging the same phonological loop or visuospatial sketchpad mechanisms.</w:t>
      </w:r>
    </w:p>
    <w:p>
      <w:pPr>
        <w:spacing w:before="0" w:after="0"/>
        <w:ind w:firstLine="720"/>
        <w:jc w:val="left"/>
        <w:spacing w:line="480" w:lineRule="auto"/>
      </w:pPr>
      <w:r>
        <w:rPr>
          <w:rFonts w:ascii="Times New Roman" w:hAnsi="Times New Roman"/>
          <w:rFonts w:ascii="Times New Roman" w:hAnsi="Times New Roman"/>
          <w:b w:val="0"/>
          <w:i w:val="0"/>
          <w:sz w:val="24"/>
        </w:rPr>
        <w:t>- Medium overlap: Transfer tasks requiring partially overlapping executive functions, such as inhibitory control, cognitive flexibility, or divided attention—functions that interact with but are not identical to central executive WM updating.</w:t>
      </w:r>
    </w:p>
    <w:p>
      <w:pPr>
        <w:spacing w:before="0" w:after="0"/>
        <w:ind w:firstLine="720"/>
        <w:jc w:val="left"/>
        <w:spacing w:line="480" w:lineRule="auto"/>
      </w:pPr>
      <w:r>
        <w:rPr>
          <w:rFonts w:ascii="Times New Roman" w:hAnsi="Times New Roman"/>
          <w:rFonts w:ascii="Times New Roman" w:hAnsi="Times New Roman"/>
          <w:b w:val="0"/>
          <w:i w:val="0"/>
          <w:sz w:val="24"/>
        </w:rPr>
        <w:t>- Low overlap: Transfer tasks targeting distinct cognitive processes with minimal mechanistic overlap to WM training, such as fluid intelligence, processing speed, vocabulary, or everyday functioning.</w:t>
      </w:r>
    </w:p>
    <w:p>
      <w:pPr>
        <w:spacing w:before="0" w:after="0"/>
        <w:ind w:firstLine="720"/>
        <w:jc w:val="left"/>
        <w:spacing w:line="480" w:lineRule="auto"/>
      </w:pPr>
      <w:r>
        <w:rPr>
          <w:rFonts w:ascii="Times New Roman" w:hAnsi="Times New Roman"/>
          <w:rFonts w:ascii="Times New Roman" w:hAnsi="Times New Roman"/>
          <w:b w:val="0"/>
          <w:i w:val="0"/>
          <w:sz w:val="24"/>
        </w:rPr>
        <w:t>Across the 56 included studies, AI-assisted preliminary classification (pending full human verification) identified high cognitive process overlap in 43 studies (77%), medium overlap in 6 studies (11%), low overlap in 6 studies (11%), and 1 study unclassified. The predominance of high-overlap training designs in the current literature (77% of studies) may partly explain the relatively consistent—albeit modest—near transfer effects observed.</w:t>
      </w:r>
    </w:p>
    <w:p>
      <w:pPr>
        <w:spacing w:before="0" w:after="0"/>
        <w:ind w:firstLine="720"/>
        <w:jc w:val="left"/>
        <w:spacing w:line="480" w:lineRule="auto"/>
      </w:pPr>
      <w:r>
        <w:rPr>
          <w:rFonts w:ascii="Times New Roman" w:hAnsi="Times New Roman"/>
          <w:rFonts w:ascii="Times New Roman" w:hAnsi="Times New Roman"/>
          <w:b w:val="0"/>
          <w:i w:val="0"/>
          <w:sz w:val="24"/>
        </w:rPr>
        <w:t>The 6 studies classified as low overlap (seq21 Sun 2018, seq22 Boutzoukas 2022, seq24 Tagliabue 2022, seq32 Heo 2014, seq35 Günther 2003, seq36 Shatil 2014) showed a distribution of Positive = 3, Null = 3. This pattern warrants careful interpretation: all three positive-conclusion studies in this group (Heo et al., 2014; Günther et al., 2003; Shatil et al., 2014) used either no active control group, a single-group pre–post design, or brain stimulation co-interventions that substantially limit attribution of effects to WM training per se. When methodological quality is considered, the evidence from low-overlap studies does not convincingly support transfer to cognitively distant domains, tentatively supporting the hypothesis that transfer probability decreases as the cognitive distance between training and transfer tasks increases.</w:t>
      </w:r>
    </w:p>
    <w:p>
      <w:pPr>
        <w:spacing w:before="120" w:after="60"/>
        <w:jc w:val="left"/>
        <w:spacing w:line="480" w:lineRule="auto"/>
      </w:pPr>
      <w:r>
        <w:rPr>
          <w:rFonts w:ascii="Times New Roman" w:hAnsi="Times New Roman"/>
          <w:rFonts w:ascii="Times New Roman" w:hAnsi="Times New Roman"/>
          <w:b w:val="0"/>
          <w:i/>
          <w:sz w:val="24"/>
        </w:rPr>
        <w:t>3.4.4 Training Dose and Density</w:t>
      </w:r>
    </w:p>
    <w:p>
      <w:pPr>
        <w:spacing w:before="0" w:after="0"/>
        <w:ind w:firstLine="720"/>
        <w:jc w:val="left"/>
        <w:spacing w:line="480" w:lineRule="auto"/>
      </w:pPr>
      <w:r>
        <w:rPr>
          <w:rFonts w:ascii="Times New Roman" w:hAnsi="Times New Roman"/>
          <w:rFonts w:ascii="Times New Roman" w:hAnsi="Times New Roman"/>
          <w:b w:val="0"/>
          <w:i w:val="0"/>
          <w:sz w:val="24"/>
        </w:rPr>
        <w:t>Training dose parameters were incompletely reported across included studies. Total training sessions were available for 51 studies (range: 3–40 sessions; median: 12), weekly frequency for 37 studies (range: 1–7 sessions/week; median: 3), session duration for 44 studies (range: 15–75 minutes; median: 40 min), and training weeks for 51 studies (range: 1–14 weeks; median: 4). Approximately 5 studies did not provide sufficient information to characterize training dose fully across all four parameters, limiting dose–response analyses.</w:t>
      </w:r>
    </w:p>
    <w:p>
      <w:pPr>
        <w:spacing w:before="0" w:after="0"/>
        <w:ind w:firstLine="720"/>
        <w:jc w:val="left"/>
        <w:spacing w:line="480" w:lineRule="auto"/>
      </w:pPr>
      <w:r>
        <w:rPr>
          <w:rFonts w:ascii="Times New Roman" w:hAnsi="Times New Roman"/>
          <w:rFonts w:ascii="Times New Roman" w:hAnsi="Times New Roman"/>
          <w:b w:val="0"/>
          <w:i w:val="0"/>
          <w:sz w:val="24"/>
        </w:rPr>
        <w:t>Within the available data, there was no consistent pattern linking higher training dose to better transfer outcomes. Studies with ≤10 total sessions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23) showed: Null = 15 (65%), Positive = 4 (17%), Mixed = 4 (17%). Studies with 11–25 sessions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25) showed: Null = 13 (52%), Positive = 9 (36%), Mixed = 3 (12%). The 3 studies with &gt;25 sessions all yielded null transfer conclusions. Counterintuitively, moderate-dose programs (11–25 sessions) showed the highest rate of positive conclusions—though this likely reflects confounding with other design factors (e.g., adaptive training, combined interventions) rather than dose per se.</w:t>
      </w:r>
    </w:p>
    <w:p>
      <w:pPr>
        <w:spacing w:before="0" w:after="0"/>
        <w:ind w:firstLine="720"/>
        <w:jc w:val="left"/>
        <w:spacing w:line="480" w:lineRule="auto"/>
      </w:pPr>
      <w:r>
        <w:rPr>
          <w:rFonts w:ascii="Times New Roman" w:hAnsi="Times New Roman"/>
          <w:rFonts w:ascii="Times New Roman" w:hAnsi="Times New Roman"/>
          <w:b w:val="0"/>
          <w:i w:val="0"/>
          <w:sz w:val="24"/>
        </w:rPr>
        <w:t xml:space="preserve">Regarding training density (frequency), studies with sparse schedules (&lt;3 sessions/week;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8) showed: Positive = 3 (38%), Mixed = 2 (25%), Null = 3 (38%). Intermediate density (3–4/week;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13): Positive = 4 (31%), Null = 8 (62%), Mixed = 1 (8%). Dense schedules (≥5/week;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16): Positive = 4 (25%), Null = 10 (63%), Mixed = 2 (13%). No clear dose–density advantage was observed. Evidence is classified as </w:t>
      </w:r>
      <w:r>
        <w:rPr>
          <w:rFonts w:ascii="Times New Roman" w:hAnsi="Times New Roman"/>
          <w:rFonts w:ascii="Times New Roman" w:hAnsi="Times New Roman"/>
          <w:b w:val="0"/>
          <w:i/>
          <w:sz w:val="24"/>
        </w:rPr>
        <w:t>insufficient</w:t>
      </w:r>
      <w:r>
        <w:rPr>
          <w:rFonts w:ascii="Times New Roman" w:hAnsi="Times New Roman"/>
          <w:rFonts w:ascii="Times New Roman" w:hAnsi="Times New Roman"/>
          <w:b w:val="0"/>
          <w:i w:val="0"/>
          <w:sz w:val="24"/>
        </w:rPr>
        <w:t xml:space="preserve"> for dose as a moderator, primarily due to high rates of missing data and confounding with design features.</w:t>
      </w:r>
    </w:p>
    <w:p>
      <w:pPr>
        <w:spacing w:before="120" w:after="60"/>
        <w:jc w:val="left"/>
        <w:spacing w:line="480" w:lineRule="auto"/>
      </w:pPr>
      <w:r>
        <w:rPr>
          <w:rFonts w:ascii="Times New Roman" w:hAnsi="Times New Roman"/>
          <w:rFonts w:ascii="Times New Roman" w:hAnsi="Times New Roman"/>
          <w:b w:val="0"/>
          <w:i/>
          <w:sz w:val="24"/>
        </w:rPr>
        <w:t>3.4.5 Other Potential Moderators</w:t>
      </w:r>
    </w:p>
    <w:p>
      <w:pPr>
        <w:spacing w:before="0" w:after="0"/>
        <w:ind w:firstLine="720"/>
        <w:jc w:val="left"/>
        <w:spacing w:line="480" w:lineRule="auto"/>
      </w:pPr>
      <w:r>
        <w:rPr>
          <w:rFonts w:ascii="Times New Roman" w:hAnsi="Times New Roman"/>
          <w:rFonts w:ascii="Times New Roman" w:hAnsi="Times New Roman"/>
          <w:b w:val="0"/>
          <w:i w:val="0"/>
          <w:sz w:val="24"/>
        </w:rPr>
        <w:t>Several additional participant and design characteristics were extracted as potential moderators but could not be systematically evaluated due to insufficient formal tests across studies.</w:t>
      </w:r>
    </w:p>
    <w:p>
      <w:pPr>
        <w:spacing w:before="0" w:after="0"/>
        <w:ind w:firstLine="720"/>
        <w:jc w:val="left"/>
        <w:spacing w:line="480" w:lineRule="auto"/>
      </w:pPr>
      <w:r>
        <w:rPr>
          <w:rFonts w:ascii="Times New Roman" w:hAnsi="Times New Roman"/>
          <w:rFonts w:ascii="Times New Roman" w:hAnsi="Times New Roman"/>
          <w:b w:val="0"/>
          <w:i w:val="0"/>
          <w:sz w:val="24"/>
        </w:rPr>
        <w:t>Education level was reported as sample mean years of schooling across studies (range: approximately 12–16 years), but no included study formally tested education as a moderator of transfer outcomes. Given theoretical links between educational attainment and cognitive reserve (Stern, 2009), this variable warrants systematic examination in future research.</w:t>
      </w:r>
    </w:p>
    <w:p>
      <w:pPr>
        <w:spacing w:before="0" w:after="0"/>
        <w:ind w:firstLine="720"/>
        <w:jc w:val="left"/>
        <w:spacing w:line="480" w:lineRule="auto"/>
      </w:pPr>
      <w:r>
        <w:rPr>
          <w:rFonts w:ascii="Times New Roman" w:hAnsi="Times New Roman"/>
          <w:rFonts w:ascii="Times New Roman" w:hAnsi="Times New Roman"/>
          <w:b w:val="0"/>
          <w:i w:val="0"/>
          <w:sz w:val="24"/>
        </w:rPr>
        <w:t>Supervision mode (laboratory-based, home-based, or hybrid) was recorded for 56 studies. Laboratory-based training was most common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 37, 66%); hybrid formats were used in 14 studies (25%), and fully home-based training in 5 studies (9%). However, no study formally compared transfer outcomes across delivery modes within a single design. As remote cognitive training becomes increasingly prevalent, this factor represents a priority for future investigation.</w:t>
      </w:r>
    </w:p>
    <w:p>
      <w:pPr>
        <w:spacing w:before="0" w:after="0"/>
        <w:ind w:firstLine="720"/>
        <w:jc w:val="left"/>
        <w:spacing w:line="480" w:lineRule="auto"/>
      </w:pPr>
      <w:r>
        <w:rPr>
          <w:rFonts w:ascii="Times New Roman" w:hAnsi="Times New Roman"/>
          <w:rFonts w:ascii="Times New Roman" w:hAnsi="Times New Roman"/>
          <w:b w:val="0"/>
          <w:i w:val="0"/>
          <w:sz w:val="24"/>
        </w:rPr>
        <w:t xml:space="preserve">Based on available evidence, both variables are classified as </w:t>
      </w:r>
      <w:r>
        <w:rPr>
          <w:rFonts w:ascii="Times New Roman" w:hAnsi="Times New Roman"/>
          <w:rFonts w:ascii="Times New Roman" w:hAnsi="Times New Roman"/>
          <w:b w:val="0"/>
          <w:i/>
          <w:sz w:val="24"/>
        </w:rPr>
        <w:t>insufficient evidence</w:t>
      </w:r>
      <w:r>
        <w:rPr>
          <w:rFonts w:ascii="Times New Roman" w:hAnsi="Times New Roman"/>
          <w:rFonts w:ascii="Times New Roman" w:hAnsi="Times New Roman"/>
          <w:b w:val="0"/>
          <w:i w:val="0"/>
          <w:sz w:val="24"/>
        </w:rPr>
        <w:t xml:space="preserve"> per the criteria established in Section 2.7.</w:t>
      </w:r>
    </w:p>
    <w:p>
      <w:pPr>
        <w:spacing w:before="120" w:after="60"/>
        <w:jc w:val="left"/>
        <w:spacing w:line="480" w:lineRule="auto"/>
      </w:pPr>
      <w:r>
        <w:rPr>
          <w:rFonts w:ascii="Times New Roman" w:hAnsi="Times New Roman"/>
          <w:rFonts w:ascii="Times New Roman" w:hAnsi="Times New Roman"/>
          <w:b/>
          <w:i/>
          <w:sz w:val="24"/>
        </w:rPr>
        <w:t>3.5 Maintenance Effects</w:t>
      </w:r>
    </w:p>
    <w:p>
      <w:pPr>
        <w:spacing w:before="0" w:after="0"/>
        <w:ind w:firstLine="720"/>
        <w:jc w:val="left"/>
        <w:spacing w:line="480" w:lineRule="auto"/>
      </w:pPr>
      <w:r>
        <w:rPr>
          <w:rFonts w:ascii="Times New Roman" w:hAnsi="Times New Roman"/>
          <w:rFonts w:ascii="Times New Roman" w:hAnsi="Times New Roman"/>
          <w:b w:val="0"/>
          <w:i w:val="0"/>
          <w:sz w:val="24"/>
        </w:rPr>
        <w:t>Follow-up assessments were reported in 37 of 56 studies (66%). Among studies with follow-up, the majority retained at least one transfer outcome at the follow-up time point; however, formal tests of training gains maintenance versus post-training change were inconsistently reported.</w:t>
      </w:r>
    </w:p>
    <w:p>
      <w:pPr>
        <w:spacing w:before="0" w:after="0"/>
        <w:ind w:firstLine="720"/>
        <w:jc w:val="left"/>
        <w:spacing w:line="480" w:lineRule="auto"/>
      </w:pPr>
      <w:r>
        <w:rPr>
          <w:rFonts w:ascii="Times New Roman" w:hAnsi="Times New Roman"/>
          <w:rFonts w:ascii="Times New Roman" w:hAnsi="Times New Roman"/>
          <w:b w:val="0"/>
          <w:i w:val="0"/>
          <w:sz w:val="24"/>
        </w:rPr>
        <w:t>Specific follow-up intervals were reported in 19 studies, ranging from 1 month (Brambilla et al., 2021; Nguyen et al., 2026) to 9 months (Zinke et al., 2014; Borella et al., 2019). The most common follow-up interval was 6 months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studies). Follow-up time point counts: 1 month = 2 studies; 3 months = 3; 5 months = 1; 6 months = 7; 8 months = 2; 9 months = 2. The remaining 18 studies with follow-up did not specify the interval in extractable form.</w:t>
      </w:r>
    </w:p>
    <w:p>
      <w:pPr>
        <w:spacing w:before="0" w:after="0"/>
        <w:ind w:firstLine="720"/>
        <w:jc w:val="left"/>
        <w:spacing w:line="480" w:lineRule="auto"/>
      </w:pPr>
      <w:r>
        <w:rPr>
          <w:rFonts w:ascii="Times New Roman" w:hAnsi="Times New Roman"/>
          <w:rFonts w:ascii="Times New Roman" w:hAnsi="Times New Roman"/>
          <w:b w:val="0"/>
          <w:i w:val="0"/>
          <w:sz w:val="24"/>
        </w:rPr>
        <w:t>Among the 19 studies with specific follow-up intervals, positive overall conclusions were maintained at follow-up in 3 studies: Günther et al. (2003; 5 months), Spironelli et al. (2021; 6 months), and Nguyen et al. (2026; 1 month). The large majority (16/19) showed null or mixed follow-up conclusions, consistent with the general pattern of limited transfer.</w:t>
      </w:r>
    </w:p>
    <w:p>
      <w:pPr>
        <w:spacing w:before="0" w:after="0"/>
        <w:ind w:firstLine="720"/>
        <w:jc w:val="left"/>
        <w:spacing w:line="480" w:lineRule="auto"/>
      </w:pPr>
      <w:r>
        <w:rPr>
          <w:rFonts w:ascii="Times New Roman" w:hAnsi="Times New Roman"/>
          <w:rFonts w:ascii="Times New Roman" w:hAnsi="Times New Roman"/>
          <w:b w:val="0"/>
          <w:i w:val="0"/>
          <w:sz w:val="24"/>
        </w:rPr>
        <w:t>The Borella research group's studies in Italian older adults (seq2, seq15, seq19, seq48) represent a notable exception in near-transfer maintenance: span-based training effects on WM tasks were retained at 6-month (seq2, seq31, seq46) and 9-month (seq15, seq25) follow-up assessments, though these effects were predominantly on near-transfer WM measures rather than far-transfer domains. Together, these findings suggest that whatever near-transfer benefits are achieved may be more durable than far-transfer effects, though the evidence base is insufficient for strong conclusions.</w:t>
      </w:r>
    </w:p>
    <w:p>
      <w:pPr>
        <w:spacing w:before="0" w:after="0"/>
        <w:ind w:firstLine="720"/>
        <w:jc w:val="left"/>
        <w:spacing w:line="480" w:lineRule="auto"/>
      </w:pPr>
      <w:r>
        <w:rPr>
          <w:rFonts w:ascii="Times New Roman" w:hAnsi="Times New Roman"/>
          <w:rFonts w:ascii="Times New Roman" w:hAnsi="Times New Roman"/>
          <w:b w:val="0"/>
          <w:i w:val="0"/>
          <w:sz w:val="24"/>
        </w:rPr>
        <w:t xml:space="preserve">The overall pattern indicates that even when immediate post-training transfer is observed, long-term maintenance of WM training benefits remains uncertain and is inconsistently investigated. Evidence is classified as </w:t>
      </w:r>
      <w:r>
        <w:rPr>
          <w:rFonts w:ascii="Times New Roman" w:hAnsi="Times New Roman"/>
          <w:rFonts w:ascii="Times New Roman" w:hAnsi="Times New Roman"/>
          <w:b w:val="0"/>
          <w:i/>
          <w:sz w:val="24"/>
        </w:rPr>
        <w:t>insufficient</w:t>
      </w:r>
      <w:r>
        <w:rPr>
          <w:rFonts w:ascii="Times New Roman" w:hAnsi="Times New Roman"/>
          <w:rFonts w:ascii="Times New Roman" w:hAnsi="Times New Roman"/>
          <w:b w:val="0"/>
          <w:i w:val="0"/>
          <w:sz w:val="24"/>
        </w:rPr>
        <w:t xml:space="preserve"> for durability of transfer effects beyond 6 months.</w:t>
      </w:r>
    </w:p>
    <w:p>
      <w:pPr>
        <w:spacing w:before="120" w:after="60"/>
        <w:jc w:val="left"/>
        <w:spacing w:line="480" w:lineRule="auto"/>
      </w:pPr>
      <w:r>
        <w:rPr>
          <w:rFonts w:ascii="Times New Roman" w:hAnsi="Times New Roman"/>
          <w:rFonts w:ascii="Times New Roman" w:hAnsi="Times New Roman"/>
          <w:b/>
          <w:i/>
          <w:sz w:val="24"/>
        </w:rPr>
        <w:t>3.6 Neuroimaging Evidence</w:t>
      </w:r>
    </w:p>
    <w:p>
      <w:pPr>
        <w:spacing w:before="0" w:after="0"/>
        <w:ind w:firstLine="720"/>
        <w:jc w:val="left"/>
        <w:spacing w:line="480" w:lineRule="auto"/>
      </w:pPr>
      <w:r>
        <w:rPr>
          <w:rFonts w:ascii="Times New Roman" w:hAnsi="Times New Roman"/>
          <w:rFonts w:ascii="Times New Roman" w:hAnsi="Times New Roman"/>
          <w:b w:val="0"/>
          <w:i w:val="0"/>
          <w:sz w:val="24"/>
        </w:rPr>
        <w:t>Ten studies (18%) included neuroimaging outcomes alongside behavioral measures, employing EEG/ERP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5: seq5, seq45, seq48, seq59, seq62), fMRI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3: seq23, seq41, seq14), structural MRI (sMRI;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 seq8, seq22), or combined modalities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 seq8, seq14). Neuroimaging evidence was highly heterogeneous in terms of modality, analysis approach, and reported outcomes, precluding cross-study synthesis.</w:t>
      </w:r>
    </w:p>
    <w:p>
      <w:pPr>
        <w:spacing w:before="0" w:after="0"/>
        <w:ind w:firstLine="720"/>
        <w:jc w:val="left"/>
        <w:spacing w:line="480" w:lineRule="auto"/>
      </w:pPr>
      <w:r>
        <w:rPr>
          <w:rFonts w:ascii="Times New Roman" w:hAnsi="Times New Roman"/>
          <w:rFonts w:ascii="Times New Roman" w:hAnsi="Times New Roman"/>
          <w:b w:val="0"/>
          <w:i w:val="0"/>
          <w:sz w:val="24"/>
        </w:rPr>
        <w:t>EEG/ERP studies. Vesterinen et al. (2018; seq5) reported increased P300 amplitude at parietal sites (Pz) during a 3-back task following training, interpreted as enhanced neural efficiency, alongside mixed behavioral transfer outcomes. Tusch et al. (2016; seq45) similarly found increased P300 amplitudes after training in the absence of significant behavioral transfer, suggesting that neural changes can occur independently of behavioral generalization. Borella et al. (2025; seq48) reported lateralized event-related potential changes after training that persisted at 6-month follow-up, with null behavioral transfer. Spironelli et al. (2021; seq59) used resting-state EEG to show changes in cortical arousal (alpha power) following brief span training, with positive behavioral transfer on the trained tasks. Pergher et al. (2020; seq62) found reduced P300 amplitude changes under increasing load conditions in the training group, interpreted as reduced neural processing effort, with null overall behavioral transfer.</w:t>
      </w:r>
    </w:p>
    <w:p>
      <w:pPr>
        <w:spacing w:before="0" w:after="0"/>
        <w:ind w:firstLine="720"/>
        <w:jc w:val="left"/>
        <w:spacing w:line="480" w:lineRule="auto"/>
      </w:pPr>
      <w:r>
        <w:rPr>
          <w:rFonts w:ascii="Times New Roman" w:hAnsi="Times New Roman"/>
          <w:rFonts w:ascii="Times New Roman" w:hAnsi="Times New Roman"/>
          <w:b w:val="0"/>
          <w:i w:val="0"/>
          <w:sz w:val="24"/>
        </w:rPr>
        <w:t>fMRI studies. Heinzel et al. (2017; seq41) found that training-related changes in left DLPFC activity predicted improved performance on an auditory dual-task, and right DLPFC changes predicted visual dual-task improvement, alongside positive overall behavioral conclusions. Verty et al. (2024; seq23) found that youth-like baseline fMRI activation patterns (indexed by a goodness-of-fit score relative to a young-adult reference) predicted greater training gains and transfer effects in older adults with positive overall conclusions—consistent with the "neural efficiency" account of training responsiveness. Šimko et al. (2021; seq14) reported fMRI activation changes in right middle-frontal and right posterior parietal regions following combined tDCS + WM training, with mixed behavioral outcomes.</w:t>
      </w:r>
    </w:p>
    <w:p>
      <w:pPr>
        <w:spacing w:before="0" w:after="0"/>
        <w:ind w:firstLine="720"/>
        <w:jc w:val="left"/>
        <w:spacing w:line="480" w:lineRule="auto"/>
      </w:pPr>
      <w:r>
        <w:rPr>
          <w:rFonts w:ascii="Times New Roman" w:hAnsi="Times New Roman"/>
          <w:rFonts w:ascii="Times New Roman" w:hAnsi="Times New Roman"/>
          <w:b w:val="0"/>
          <w:i w:val="0"/>
          <w:sz w:val="24"/>
        </w:rPr>
        <w:t>Structural MRI. Wang et al. (2025; seq8) found increased left frontal cortical thickness and reduced resting-state functional homogeneity in the training group, with changes correlated with WM improvements, in a study with mixed behavioral transfer. Boutzoukas et al. (2022; seq22) found that higher white matter hyperintensity (WMH) load negatively predicted training-related near-transfer improvement, identifying structural brain integrity as a potential constraint on WM training plasticity, with null overall behavioral transfer.</w:t>
      </w:r>
    </w:p>
    <w:p>
      <w:pPr>
        <w:spacing w:before="0" w:after="0"/>
        <w:ind w:firstLine="720"/>
        <w:jc w:val="left"/>
        <w:spacing w:line="480" w:lineRule="auto"/>
      </w:pPr>
      <w:r>
        <w:rPr>
          <w:rFonts w:ascii="Times New Roman" w:hAnsi="Times New Roman"/>
          <w:rFonts w:ascii="Times New Roman" w:hAnsi="Times New Roman"/>
          <w:b w:val="0"/>
          <w:i w:val="0"/>
          <w:sz w:val="24"/>
        </w:rPr>
        <w:t>Across these 10 studies, a consistent pattern emerges: neural changes following WM training can occur in the absence of behavioral transfer. Studies frequently document EEG or fMRI changes that do not correspond to statistically significant group differences on transfer outcomes. This dissociation suggests that WM training may induce task-specific neural adaptations that do not generalize to the broader cognitive architecture assessed by transfer measures. Baseline neural characteristics—particularly cortical thickness, WMH burden, and resting activation patterns—appear to be meaningful predictors of training responsiveness, warranting their systematic inclusion in future studies.</w:t>
      </w:r>
    </w:p>
    <w:p>
      <w:pPr>
        <w:spacing w:before="0" w:after="0"/>
        <w:ind w:firstLine="720"/>
        <w:jc w:val="left"/>
        <w:spacing w:line="480" w:lineRule="auto"/>
      </w:pPr>
      <w:r>
        <w:rPr>
          <w:rFonts w:ascii="Times New Roman" w:hAnsi="Times New Roman"/>
          <w:rFonts w:ascii="Times New Roman" w:hAnsi="Times New Roman"/>
          <w:b w:val="0"/>
          <w:i w:val="0"/>
          <w:sz w:val="24"/>
        </w:rPr>
        <w:t>Due to the small number of neuroimaging studies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and high methodological heterogeneity, evidence strength for neuroimaging correlates of WM training is classified as </w:t>
      </w:r>
      <w:r>
        <w:rPr>
          <w:rFonts w:ascii="Times New Roman" w:hAnsi="Times New Roman"/>
          <w:rFonts w:ascii="Times New Roman" w:hAnsi="Times New Roman"/>
          <w:b w:val="0"/>
          <w:i/>
          <w:sz w:val="24"/>
        </w:rPr>
        <w:t>insufficient</w:t>
      </w:r>
      <w:r>
        <w:rPr>
          <w:rFonts w:ascii="Times New Roman" w:hAnsi="Times New Roman"/>
          <w:rFonts w:ascii="Times New Roman" w:hAnsi="Times New Roman"/>
          <w:b w:val="0"/>
          <w:i w:val="0"/>
          <w:sz w:val="24"/>
        </w:rPr>
        <w:t xml:space="preserve"> for any specific conclusion. Nevertheless, neuroimaging findings provide mechanistic context for the behavioral patterns described in Sections 3.2–3.4 and highlight the value of biomarker-informed stratification in future training research.</w:t>
      </w:r>
    </w:p>
    <w:p>
      <w:pPr>
        <w:spacing w:before="240" w:after="120"/>
        <w:jc w:val="left"/>
        <w:spacing w:line="480" w:lineRule="auto"/>
      </w:pPr>
      <w:r>
        <w:rPr>
          <w:rFonts w:ascii="Times New Roman" w:hAnsi="Times New Roman"/>
          <w:rFonts w:ascii="Times New Roman" w:hAnsi="Times New Roman"/>
          <w:b/>
          <w:i w:val="0"/>
          <w:sz w:val="24"/>
        </w:rPr>
        <w:t>4. Discussion</w:t>
      </w:r>
    </w:p>
    <w:p>
      <w:pPr>
        <w:spacing w:before="120" w:after="60"/>
        <w:jc w:val="left"/>
        <w:spacing w:line="480" w:lineRule="auto"/>
      </w:pPr>
      <w:r>
        <w:rPr>
          <w:rFonts w:ascii="Times New Roman" w:hAnsi="Times New Roman"/>
          <w:rFonts w:ascii="Times New Roman" w:hAnsi="Times New Roman"/>
          <w:b/>
          <w:i/>
          <w:sz w:val="24"/>
        </w:rPr>
        <w:t>4.1 Compensation vs. Magnification: Toward an Integrative Framework</w:t>
      </w:r>
    </w:p>
    <w:p>
      <w:pPr>
        <w:spacing w:before="0" w:after="0"/>
        <w:ind w:firstLine="720"/>
        <w:jc w:val="left"/>
        <w:spacing w:line="480" w:lineRule="auto"/>
      </w:pPr>
      <w:r>
        <w:rPr>
          <w:rFonts w:ascii="Times New Roman" w:hAnsi="Times New Roman"/>
          <w:rFonts w:ascii="Times New Roman" w:hAnsi="Times New Roman"/>
          <w:b w:val="0"/>
          <w:i w:val="0"/>
          <w:sz w:val="24"/>
        </w:rPr>
        <w:t>This systematic review synthesized evidence from 56 studies of WM training in healthy older adults, spanning 17 countries and more than two decades of research. The central finding is that WM training reliably improves performance on trained criterion tasks but produces limited and inconsistent transfer to untrained cognitive domains. Sixty-three percent of studies found no significant between-group transfer effects; only 16% reported consistently positive transfer across assessed domains. This pattern is broadly consistent with prior meta-analyses (Melby-Lervåg &amp; Hulme, 2013; Melby-Lervåg et al., 2016; Sala &amp; Gobet, 2019), and extends that literature by specifically characterizing moderating factors and baseline ability effects in healthy older adults aged ≥60 years.</w:t>
      </w:r>
    </w:p>
    <w:p>
      <w:pPr>
        <w:spacing w:before="0" w:after="0"/>
        <w:ind w:firstLine="720"/>
        <w:jc w:val="left"/>
        <w:spacing w:line="480" w:lineRule="auto"/>
      </w:pPr>
      <w:r>
        <w:rPr>
          <w:rFonts w:ascii="Times New Roman" w:hAnsi="Times New Roman"/>
          <w:rFonts w:ascii="Times New Roman" w:hAnsi="Times New Roman"/>
          <w:b w:val="0"/>
          <w:i w:val="0"/>
          <w:sz w:val="24"/>
        </w:rPr>
        <w:t xml:space="preserve">A central theoretical debate in this literature concerns whether training benefits are larger for individuals with lower baseline WM capacity (the </w:t>
      </w:r>
      <w:r>
        <w:rPr>
          <w:rFonts w:ascii="Times New Roman" w:hAnsi="Times New Roman"/>
          <w:rFonts w:ascii="Times New Roman" w:hAnsi="Times New Roman"/>
          <w:b w:val="0"/>
          <w:i/>
          <w:sz w:val="24"/>
        </w:rPr>
        <w:t>magnification hypothesis</w:t>
      </w:r>
      <w:r>
        <w:rPr>
          <w:rFonts w:ascii="Times New Roman" w:hAnsi="Times New Roman"/>
          <w:rFonts w:ascii="Times New Roman" w:hAnsi="Times New Roman"/>
          <w:b w:val="0"/>
          <w:i w:val="0"/>
          <w:sz w:val="24"/>
        </w:rPr>
        <w:t xml:space="preserve">; Lindenberger et al., 2008) or for those with greater cognitive reserve (a </w:t>
      </w:r>
      <w:r>
        <w:rPr>
          <w:rFonts w:ascii="Times New Roman" w:hAnsi="Times New Roman"/>
          <w:rFonts w:ascii="Times New Roman" w:hAnsi="Times New Roman"/>
          <w:b w:val="0"/>
          <w:i/>
          <w:sz w:val="24"/>
        </w:rPr>
        <w:t>compensation</w:t>
      </w:r>
      <w:r>
        <w:rPr>
          <w:rFonts w:ascii="Times New Roman" w:hAnsi="Times New Roman"/>
          <w:rFonts w:ascii="Times New Roman" w:hAnsi="Times New Roman"/>
          <w:b w:val="0"/>
          <w:i w:val="0"/>
          <w:sz w:val="24"/>
        </w:rPr>
        <w:t>-compatible account; Reuter-Lorenz &amp; Cappell, 2008; Stern, 2009). The CRUNCH framework predicts that older adults already operating near neural capacity limits show less training-induced plasticity, favoring those with greater reserve. Conversely, the magnification account predicts the greatest gains where the most room for improvement exists.</w:t>
      </w:r>
    </w:p>
    <w:p>
      <w:pPr>
        <w:spacing w:before="0" w:after="0"/>
        <w:ind w:firstLine="720"/>
        <w:jc w:val="left"/>
        <w:spacing w:line="480" w:lineRule="auto"/>
      </w:pPr>
      <w:r>
        <w:rPr>
          <w:rFonts w:ascii="Times New Roman" w:hAnsi="Times New Roman"/>
          <w:rFonts w:ascii="Times New Roman" w:hAnsi="Times New Roman"/>
          <w:b w:val="0"/>
          <w:i w:val="0"/>
          <w:sz w:val="24"/>
        </w:rPr>
        <w:t>The present review found no consistent support for either hypothesis as a universal account. Among the 8 studies formally testing baseline WM moderation, 3 found low &gt; high benefit directions (Zinke et al., 2014; Borella et al., 2017; Brambilla et al., 2021), 3 found null moderation (Matysiak et al., 2019; Cantarella et al., 2017; Stephens et al., 2017), and 2 reported exploratory findings without formal tests. Notably, all three magnification-direction findings involved adaptive training protocols; the non-significant moderation findings included a mix of adaptive and fixed-difficulty designs.</w:t>
      </w:r>
    </w:p>
    <w:p>
      <w:pPr>
        <w:spacing w:before="0" w:after="0"/>
        <w:ind w:firstLine="720"/>
        <w:jc w:val="left"/>
        <w:spacing w:line="480" w:lineRule="auto"/>
      </w:pPr>
      <w:r>
        <w:rPr>
          <w:rFonts w:ascii="Times New Roman" w:hAnsi="Times New Roman"/>
          <w:rFonts w:ascii="Times New Roman" w:hAnsi="Times New Roman"/>
          <w:b w:val="0"/>
          <w:i w:val="0"/>
          <w:sz w:val="24"/>
        </w:rPr>
        <w:t>We propose that the direction of baseline moderation may itself be moderated by training design—specifically, task difficulty calibration. Adaptive training protocols, by continuously adjusting difficulty to individual performance, create conditions under which lower-ability individuals can sustain effortful engagement and achieve meaningful cognitive gains (compensation-compatible). Fixed-difficulty protocols, by contrast, may present a ceiling for lower-ability individuals while remaining challenging for those with greater cognitive resources (magnification-compatible). Future research should experimentally manipulate difficulty adaptation while stratifying participants by baseline WM ability to test this interaction directly.</w:t>
      </w:r>
    </w:p>
    <w:p>
      <w:pPr>
        <w:spacing w:before="120" w:after="60"/>
        <w:jc w:val="left"/>
        <w:spacing w:line="480" w:lineRule="auto"/>
      </w:pPr>
      <w:r>
        <w:rPr>
          <w:rFonts w:ascii="Times New Roman" w:hAnsi="Times New Roman"/>
          <w:rFonts w:ascii="Times New Roman" w:hAnsi="Times New Roman"/>
          <w:b/>
          <w:i/>
          <w:sz w:val="24"/>
        </w:rPr>
        <w:t>4.2 The Role of Cognitive Process Overlap</w:t>
      </w:r>
    </w:p>
    <w:p>
      <w:pPr>
        <w:spacing w:before="0" w:after="0"/>
        <w:ind w:firstLine="720"/>
        <w:jc w:val="left"/>
        <w:spacing w:line="480" w:lineRule="auto"/>
      </w:pPr>
      <w:r>
        <w:rPr>
          <w:rFonts w:ascii="Times New Roman" w:hAnsi="Times New Roman"/>
          <w:rFonts w:ascii="Times New Roman" w:hAnsi="Times New Roman"/>
          <w:b w:val="0"/>
          <w:i w:val="0"/>
          <w:sz w:val="24"/>
        </w:rPr>
        <w:t>Barnett and Ceci's (2002) taxonomy of transfer distance provides a principled framework for predicting which cognitive outcomes should benefit from WM training. Their taxonomy specifies that transfer is more likely when training and transfer tasks share common cognitive mechanisms—a prediction instantiated in WM training research as the expectation that near-transfer to untrained WM tasks should be reliably obtained, with probability decreasing as cognitive distance increases.</w:t>
      </w:r>
    </w:p>
    <w:p>
      <w:pPr>
        <w:spacing w:before="0" w:after="0"/>
        <w:ind w:firstLine="720"/>
        <w:jc w:val="left"/>
        <w:spacing w:line="480" w:lineRule="auto"/>
      </w:pPr>
      <w:r>
        <w:rPr>
          <w:rFonts w:ascii="Times New Roman" w:hAnsi="Times New Roman"/>
          <w:rFonts w:ascii="Times New Roman" w:hAnsi="Times New Roman"/>
          <w:b w:val="0"/>
          <w:i w:val="0"/>
          <w:sz w:val="24"/>
        </w:rPr>
        <w:t>The distribution of studies in the present review was heavily weighted toward high-overlap designs: 43 of 56 studies (77%) measured transfer outcomes classified as sharing high cognitive process overlap with the training task. This systematic skew likely reflects a reasonable initial research strategy—establishing reliable near transfer before pursuing more ambitious far-transfer goals. However, it creates an important analytic constraint: even within the high-overlap category, only 9 of 43 studies (21%) yielded positive overall conclusions, and 27 (63%) were null. This finding establishes that high cognitive process overlap is a necessary but insufficient condition for transfer, and suggests that additional factors—including control group type, training dose, and individual moderators—exert substantial influence over whether even proximal generalization occurs.</w:t>
      </w:r>
    </w:p>
    <w:p>
      <w:pPr>
        <w:spacing w:before="0" w:after="0"/>
        <w:ind w:firstLine="720"/>
        <w:jc w:val="left"/>
        <w:spacing w:line="480" w:lineRule="auto"/>
      </w:pPr>
      <w:r>
        <w:rPr>
          <w:rFonts w:ascii="Times New Roman" w:hAnsi="Times New Roman"/>
          <w:rFonts w:ascii="Times New Roman" w:hAnsi="Times New Roman"/>
          <w:b w:val="0"/>
          <w:i w:val="0"/>
          <w:sz w:val="24"/>
        </w:rPr>
        <w:t>The 6 studies classified as low cognitive process overlap (measuring everyday functioning, fluid intelligence as a distal outcome, or domain-general composites) yielded Positive = 3, Null = 3. Superficially, this 50% positive rate exceeds the 21% observed in the high-overlap category—an apparent paradox for the transfer distance hypothesis. However, this comparison does not survive methodological scrutiny: all three positive-conclusion studies in the low-overlap group involved critical confounds that prevent attribution to WM training per se. Günther et al. (2003) used a single-group pre–post design without any control condition; Shatil et al. (2014) combined WM training with physical exercise; and Heo et al. (2014) combined WM training with tDCS and TMS. Removing these confounded cases, the adjusted positive rate for low-overlap studies drops to 0 of 3 (0%), while the null rate becomes 3 of 3 (100%). This corrected pattern is fully consistent with the transfer distance hypothesis and actually strengthens the inference that WM training does not produce reliable transfer to cognitively distant domains.</w:t>
      </w:r>
    </w:p>
    <w:p>
      <w:pPr>
        <w:spacing w:before="0" w:after="0"/>
        <w:ind w:firstLine="720"/>
        <w:jc w:val="left"/>
        <w:spacing w:line="480" w:lineRule="auto"/>
      </w:pPr>
      <w:r>
        <w:rPr>
          <w:rFonts w:ascii="Times New Roman" w:hAnsi="Times New Roman"/>
          <w:rFonts w:ascii="Times New Roman" w:hAnsi="Times New Roman"/>
          <w:b w:val="0"/>
          <w:i w:val="0"/>
          <w:sz w:val="24"/>
        </w:rPr>
        <w:t>Future research should deliberately operationalize cognitive process overlap as an independent variable—designing training batteries and transfer batteries that systematically span the full range from high- to low-overlap tasks within the same study—to provide direct empirical tests of overlap as a transfer determinant. Practically, this implies that training programs designed to improve specific everyday competencies (e.g., medication management, financial decision-making) should incorporate tasks with explicit cognitive process alignment to target outcomes—a design principle largely absent from current WM training protocols.</w:t>
      </w:r>
    </w:p>
    <w:p>
      <w:pPr>
        <w:spacing w:before="120" w:after="60"/>
        <w:jc w:val="left"/>
        <w:spacing w:line="480" w:lineRule="auto"/>
      </w:pPr>
      <w:r>
        <w:rPr>
          <w:rFonts w:ascii="Times New Roman" w:hAnsi="Times New Roman"/>
          <w:rFonts w:ascii="Times New Roman" w:hAnsi="Times New Roman"/>
          <w:b/>
          <w:i/>
          <w:sz w:val="24"/>
        </w:rPr>
        <w:t>4.3 Training Dose, Design Quality, and the Active Control Problem</w:t>
      </w:r>
    </w:p>
    <w:p>
      <w:pPr>
        <w:spacing w:before="0" w:after="0"/>
        <w:ind w:firstLine="720"/>
        <w:jc w:val="left"/>
        <w:spacing w:line="480" w:lineRule="auto"/>
      </w:pPr>
      <w:r>
        <w:rPr>
          <w:rFonts w:ascii="Times New Roman" w:hAnsi="Times New Roman"/>
          <w:rFonts w:ascii="Times New Roman" w:hAnsi="Times New Roman"/>
          <w:b w:val="0"/>
          <w:i w:val="0"/>
          <w:sz w:val="24"/>
        </w:rPr>
        <w:t>The substantial non-reporting of training dose parameters (sessions unreported in 9%, duration in 21%, frequency in 33% of studies) presents a significant barrier to cumulative science in this area. Beyond simple non-reporting, the present review reveals that raw session count is an inadequate proxy for training intensity. Studies in the intermediate session range (11–25 sessions) yielded a higher proportion of positive transfer conclusions (36%) than either shorter (≤10 sessions: 17%) or longer (&gt;25 sessions: 0%) protocols.</w:t>
      </w:r>
    </w:p>
    <w:p>
      <w:pPr>
        <w:spacing w:before="0" w:after="0"/>
        <w:ind w:firstLine="720"/>
        <w:jc w:val="left"/>
        <w:spacing w:line="480" w:lineRule="auto"/>
      </w:pPr>
      <w:r>
        <w:rPr>
          <w:rFonts w:ascii="Times New Roman" w:hAnsi="Times New Roman"/>
          <w:rFonts w:ascii="Times New Roman" w:hAnsi="Times New Roman"/>
          <w:b w:val="0"/>
          <w:i w:val="0"/>
          <w:sz w:val="24"/>
        </w:rPr>
        <w:t>An exploratory observation from the present review warrants cautious attention: this non-linear pattern does not straightforwardly support a dose-response relationship; rather, it likely reflects sample composition confounds. Among the 25 studies with 11–25 sessions, 22 (88%) employed adaptive difficulty protocols and 19 (76%) incorporated combined neurostimulation or exercise co-interventions, both of which independently predict more favorable transfer outcomes. Longer training protocols, conversely, may engender fatigue effects or motivational decline that attenuate gains, particularly in older adult samples (Bier et al., 2015). These observations underscore the inadequacy of raw session count as a proxy for training intensity, and highlight the need for future studies to report dose–response data with sufficient granularity to disentangle frequency, duration, and adaptive challenge from total session count.</w:t>
      </w:r>
    </w:p>
    <w:p>
      <w:pPr>
        <w:spacing w:before="0" w:after="0"/>
        <w:ind w:firstLine="720"/>
        <w:jc w:val="left"/>
        <w:spacing w:line="480" w:lineRule="auto"/>
      </w:pPr>
      <w:r>
        <w:rPr>
          <w:rFonts w:ascii="Times New Roman" w:hAnsi="Times New Roman"/>
          <w:rFonts w:ascii="Times New Roman" w:hAnsi="Times New Roman"/>
          <w:b w:val="0"/>
          <w:i w:val="0"/>
          <w:sz w:val="24"/>
        </w:rPr>
        <w:t>The comparison between active- and passive-control studies provides perhaps the strongest methodological signal in the review: studies without active controls showed a Positive rate of 40% versus 20% in active-control studies. This gap—consistent across training types and participant characteristics—demonstrates that substantial non-specific effects (test familiarity, social engagement, expectancy) contribute to apparent training gains when control conditions are inadequate. Combined intervention studies (WM + tDCS, WM + exercise) introduce a further attribution problem: even when transfer effects are observed, they cannot be attributed specifically to the WM training component in the absence of a factorial design.</w:t>
      </w:r>
    </w:p>
    <w:p>
      <w:pPr>
        <w:spacing w:before="0" w:after="0"/>
        <w:ind w:firstLine="720"/>
        <w:jc w:val="left"/>
        <w:spacing w:line="480" w:lineRule="auto"/>
      </w:pPr>
      <w:r>
        <w:rPr>
          <w:rFonts w:ascii="Times New Roman" w:hAnsi="Times New Roman"/>
          <w:rFonts w:ascii="Times New Roman" w:hAnsi="Times New Roman"/>
          <w:b w:val="0"/>
          <w:i w:val="0"/>
          <w:sz w:val="24"/>
        </w:rPr>
        <w:t>Future trials should employ active control groups matched on total time, social contact, and engagement level; report intervention parameters according to TIDieR criteria (Hoffmann et al., 2014); and use factorial designs when combining WM training with co-interventions to enable component-level inference.</w:t>
      </w:r>
    </w:p>
    <w:p>
      <w:pPr>
        <w:spacing w:before="120" w:after="60"/>
        <w:jc w:val="left"/>
        <w:spacing w:line="480" w:lineRule="auto"/>
      </w:pPr>
      <w:r>
        <w:rPr>
          <w:rFonts w:ascii="Times New Roman" w:hAnsi="Times New Roman"/>
          <w:rFonts w:ascii="Times New Roman" w:hAnsi="Times New Roman"/>
          <w:b/>
          <w:i/>
          <w:sz w:val="24"/>
        </w:rPr>
        <w:t>4.4 Methodological Recommendations</w:t>
      </w:r>
    </w:p>
    <w:p>
      <w:pPr>
        <w:spacing w:before="0" w:after="0"/>
        <w:ind w:firstLine="720"/>
        <w:jc w:val="left"/>
        <w:spacing w:line="480" w:lineRule="auto"/>
      </w:pPr>
      <w:r>
        <w:rPr>
          <w:rFonts w:ascii="Times New Roman" w:hAnsi="Times New Roman"/>
          <w:rFonts w:ascii="Times New Roman" w:hAnsi="Times New Roman"/>
          <w:b w:val="0"/>
          <w:i w:val="0"/>
          <w:sz w:val="24"/>
        </w:rPr>
        <w:t>Based on the patterns identified in this review, we propose the following evidence-based recommendations for future WM training research in older adults:</w:t>
      </w:r>
    </w:p>
    <w:p>
      <w:pPr>
        <w:ind w:left="720" w:hanging="360"/>
        <w:spacing w:line="480" w:lineRule="auto"/>
      </w:pPr>
      <w:r>
        <w:rPr>
          <w:rFonts w:ascii="Times New Roman" w:hAnsi="Times New Roman"/>
          <w:rFonts w:ascii="Times New Roman" w:hAnsi="Times New Roman"/>
          <w:b w:val="0"/>
          <w:i w:val="0"/>
          <w:sz w:val="24"/>
        </w:rPr>
        <w:t xml:space="preserve">1. </w:t>
      </w:r>
      <w:r>
        <w:rPr>
          <w:rFonts w:ascii="Times New Roman" w:hAnsi="Times New Roman"/>
          <w:rFonts w:ascii="Times New Roman" w:hAnsi="Times New Roman"/>
          <w:b/>
          <w:i w:val="0"/>
          <w:sz w:val="24"/>
        </w:rPr>
        <w:t>Report baseline WM ability using standardized measures</w:t>
      </w:r>
      <w:r>
        <w:rPr>
          <w:rFonts w:ascii="Times New Roman" w:hAnsi="Times New Roman"/>
          <w:rFonts w:ascii="Times New Roman" w:hAnsi="Times New Roman"/>
          <w:b w:val="0"/>
          <w:i w:val="0"/>
          <w:sz w:val="24"/>
        </w:rPr>
        <w:t xml:space="preserve"> (e.g., digit span forward/backward, operation span, reading span) to enable baseline stratification and moderator analyses across studies.</w:t>
      </w:r>
    </w:p>
    <w:p>
      <w:pPr>
        <w:ind w:left="720" w:hanging="360"/>
        <w:spacing w:line="480" w:lineRule="auto"/>
      </w:pPr>
      <w:r>
        <w:rPr>
          <w:rFonts w:ascii="Times New Roman" w:hAnsi="Times New Roman"/>
          <w:rFonts w:ascii="Times New Roman" w:hAnsi="Times New Roman"/>
          <w:b w:val="0"/>
          <w:i w:val="0"/>
          <w:sz w:val="24"/>
        </w:rPr>
        <w:t xml:space="preserve">2. </w:t>
      </w:r>
      <w:r>
        <w:rPr>
          <w:rFonts w:ascii="Times New Roman" w:hAnsi="Times New Roman"/>
          <w:rFonts w:ascii="Times New Roman" w:hAnsi="Times New Roman"/>
          <w:b/>
          <w:i w:val="0"/>
          <w:sz w:val="24"/>
        </w:rPr>
        <w:t>Characterize cognitive process overlap</w:t>
      </w:r>
      <w:r>
        <w:rPr>
          <w:rFonts w:ascii="Times New Roman" w:hAnsi="Times New Roman"/>
          <w:rFonts w:ascii="Times New Roman" w:hAnsi="Times New Roman"/>
          <w:b w:val="0"/>
          <w:i w:val="0"/>
          <w:sz w:val="24"/>
        </w:rPr>
        <w:t xml:space="preserve"> between training and transfer tasks explicitly, using an established taxonomy (e.g., Barnett &amp; Ceci, 2002), and pre-specify hypothesized transfer distances at the protocol stage.</w:t>
      </w:r>
    </w:p>
    <w:p>
      <w:pPr>
        <w:ind w:left="720" w:hanging="360"/>
        <w:spacing w:line="480" w:lineRule="auto"/>
      </w:pPr>
      <w:r>
        <w:rPr>
          <w:rFonts w:ascii="Times New Roman" w:hAnsi="Times New Roman"/>
          <w:rFonts w:ascii="Times New Roman" w:hAnsi="Times New Roman"/>
          <w:b w:val="0"/>
          <w:i w:val="0"/>
          <w:sz w:val="24"/>
        </w:rPr>
        <w:t xml:space="preserve">3. </w:t>
      </w:r>
      <w:r>
        <w:rPr>
          <w:rFonts w:ascii="Times New Roman" w:hAnsi="Times New Roman"/>
          <w:rFonts w:ascii="Times New Roman" w:hAnsi="Times New Roman"/>
          <w:b/>
          <w:i w:val="0"/>
          <w:sz w:val="24"/>
        </w:rPr>
        <w:t>Use active control conditions</w:t>
      </w:r>
      <w:r>
        <w:rPr>
          <w:rFonts w:ascii="Times New Roman" w:hAnsi="Times New Roman"/>
          <w:rFonts w:ascii="Times New Roman" w:hAnsi="Times New Roman"/>
          <w:b w:val="0"/>
          <w:i w:val="0"/>
          <w:sz w:val="24"/>
        </w:rPr>
        <w:t xml:space="preserve"> matched to training on total time, social interaction, and technology engagement, to isolate WM-specific effects from non-specific factors.</w:t>
      </w:r>
    </w:p>
    <w:p>
      <w:pPr>
        <w:ind w:left="720" w:hanging="360"/>
        <w:spacing w:line="480" w:lineRule="auto"/>
      </w:pPr>
      <w:r>
        <w:rPr>
          <w:rFonts w:ascii="Times New Roman" w:hAnsi="Times New Roman"/>
          <w:rFonts w:ascii="Times New Roman" w:hAnsi="Times New Roman"/>
          <w:b w:val="0"/>
          <w:i w:val="0"/>
          <w:sz w:val="24"/>
        </w:rPr>
        <w:t xml:space="preserve">4. </w:t>
      </w:r>
      <w:r>
        <w:rPr>
          <w:rFonts w:ascii="Times New Roman" w:hAnsi="Times New Roman"/>
          <w:rFonts w:ascii="Times New Roman" w:hAnsi="Times New Roman"/>
          <w:b/>
          <w:i w:val="0"/>
          <w:sz w:val="24"/>
        </w:rPr>
        <w:t>Report complete training dose parameters</w:t>
      </w:r>
      <w:r>
        <w:rPr>
          <w:rFonts w:ascii="Times New Roman" w:hAnsi="Times New Roman"/>
          <w:rFonts w:ascii="Times New Roman" w:hAnsi="Times New Roman"/>
          <w:b w:val="0"/>
          <w:i w:val="0"/>
          <w:sz w:val="24"/>
        </w:rPr>
        <w:t xml:space="preserve"> separately: session frequency (sessions/week), individual session duration (minutes), total session count, and total training weeks. Adopt TIDieR reporting standards.</w:t>
      </w:r>
    </w:p>
    <w:p>
      <w:pPr>
        <w:ind w:left="720" w:hanging="360"/>
        <w:spacing w:line="480" w:lineRule="auto"/>
      </w:pPr>
      <w:r>
        <w:rPr>
          <w:rFonts w:ascii="Times New Roman" w:hAnsi="Times New Roman"/>
          <w:rFonts w:ascii="Times New Roman" w:hAnsi="Times New Roman"/>
          <w:b w:val="0"/>
          <w:i w:val="0"/>
          <w:sz w:val="24"/>
        </w:rPr>
        <w:t xml:space="preserve">5. </w:t>
      </w:r>
      <w:r>
        <w:rPr>
          <w:rFonts w:ascii="Times New Roman" w:hAnsi="Times New Roman"/>
          <w:rFonts w:ascii="Times New Roman" w:hAnsi="Times New Roman"/>
          <w:b/>
          <w:i w:val="0"/>
          <w:sz w:val="24"/>
        </w:rPr>
        <w:t>Include follow-up assessments of at least 6 months</w:t>
      </w:r>
      <w:r>
        <w:rPr>
          <w:rFonts w:ascii="Times New Roman" w:hAnsi="Times New Roman"/>
          <w:rFonts w:ascii="Times New Roman" w:hAnsi="Times New Roman"/>
          <w:b w:val="0"/>
          <w:i w:val="0"/>
          <w:sz w:val="24"/>
        </w:rPr>
        <w:t xml:space="preserve"> to evaluate maintenance of training effects; shorter follow-ups cannot distinguish sustained gains from regression to the mean.</w:t>
      </w:r>
    </w:p>
    <w:p>
      <w:pPr>
        <w:ind w:left="720" w:hanging="360"/>
        <w:spacing w:line="480" w:lineRule="auto"/>
      </w:pPr>
      <w:r>
        <w:rPr>
          <w:rFonts w:ascii="Times New Roman" w:hAnsi="Times New Roman"/>
          <w:rFonts w:ascii="Times New Roman" w:hAnsi="Times New Roman"/>
          <w:b w:val="0"/>
          <w:i w:val="0"/>
          <w:sz w:val="24"/>
        </w:rPr>
        <w:t xml:space="preserve">6. </w:t>
      </w:r>
      <w:r>
        <w:rPr>
          <w:rFonts w:ascii="Times New Roman" w:hAnsi="Times New Roman"/>
          <w:rFonts w:ascii="Times New Roman" w:hAnsi="Times New Roman"/>
          <w:b/>
          <w:i w:val="0"/>
          <w:sz w:val="24"/>
        </w:rPr>
        <w:t>Incorporate neuroimaging where feasible</w:t>
      </w:r>
      <w:r>
        <w:rPr>
          <w:rFonts w:ascii="Times New Roman" w:hAnsi="Times New Roman"/>
          <w:rFonts w:ascii="Times New Roman" w:hAnsi="Times New Roman"/>
          <w:b w:val="0"/>
          <w:i w:val="0"/>
          <w:sz w:val="24"/>
        </w:rPr>
        <w:t xml:space="preserve"> to examine neural mechanisms of transfer and to use baseline neural characteristics (e.g., white matter integrity, cortical thickness) as predictive biomarkers of training responsiveness.</w:t>
      </w:r>
    </w:p>
    <w:p>
      <w:pPr>
        <w:ind w:left="720" w:hanging="360"/>
        <w:spacing w:line="480" w:lineRule="auto"/>
      </w:pPr>
      <w:r>
        <w:rPr>
          <w:rFonts w:ascii="Times New Roman" w:hAnsi="Times New Roman"/>
          <w:rFonts w:ascii="Times New Roman" w:hAnsi="Times New Roman"/>
          <w:b w:val="0"/>
          <w:i w:val="0"/>
          <w:sz w:val="24"/>
        </w:rPr>
        <w:t xml:space="preserve">7. </w:t>
      </w:r>
      <w:r>
        <w:rPr>
          <w:rFonts w:ascii="Times New Roman" w:hAnsi="Times New Roman"/>
          <w:rFonts w:ascii="Times New Roman" w:hAnsi="Times New Roman"/>
          <w:b/>
          <w:i w:val="0"/>
          <w:sz w:val="24"/>
        </w:rPr>
        <w:t>Report attrition and completion rates</w:t>
      </w:r>
      <w:r>
        <w:rPr>
          <w:rFonts w:ascii="Times New Roman" w:hAnsi="Times New Roman"/>
          <w:rFonts w:ascii="Times New Roman" w:hAnsi="Times New Roman"/>
          <w:b w:val="0"/>
          <w:i w:val="0"/>
          <w:sz w:val="24"/>
        </w:rPr>
        <w:t xml:space="preserve"> for training sessions separately from assessment attrition, and analyze dose actually received, not only dose assigned.</w:t>
      </w:r>
    </w:p>
    <w:p>
      <w:pPr>
        <w:ind w:left="720" w:hanging="360"/>
        <w:spacing w:line="480" w:lineRule="auto"/>
      </w:pPr>
      <w:r>
        <w:rPr>
          <w:rFonts w:ascii="Times New Roman" w:hAnsi="Times New Roman"/>
          <w:rFonts w:ascii="Times New Roman" w:hAnsi="Times New Roman"/>
          <w:b w:val="0"/>
          <w:i w:val="0"/>
          <w:sz w:val="24"/>
        </w:rPr>
        <w:t xml:space="preserve">8. </w:t>
      </w:r>
      <w:r>
        <w:rPr>
          <w:rFonts w:ascii="Times New Roman" w:hAnsi="Times New Roman"/>
          <w:rFonts w:ascii="Times New Roman" w:hAnsi="Times New Roman"/>
          <w:b/>
          <w:i w:val="0"/>
          <w:sz w:val="24"/>
        </w:rPr>
        <w:t>Pre-register protocols in PROSPERO</w:t>
      </w:r>
      <w:r>
        <w:rPr>
          <w:rFonts w:ascii="Times New Roman" w:hAnsi="Times New Roman"/>
          <w:rFonts w:ascii="Times New Roman" w:hAnsi="Times New Roman"/>
          <w:b w:val="0"/>
          <w:i w:val="0"/>
          <w:sz w:val="24"/>
        </w:rPr>
        <w:t xml:space="preserve"> prior to data collection, and pre-specify primary transfer outcomes, moderator variables, and analysis approaches to reduce selective reporting.</w:t>
      </w:r>
    </w:p>
    <w:p>
      <w:pPr>
        <w:spacing w:before="120" w:after="60"/>
        <w:jc w:val="left"/>
        <w:spacing w:line="480" w:lineRule="auto"/>
      </w:pPr>
      <w:r>
        <w:rPr>
          <w:rFonts w:ascii="Times New Roman" w:hAnsi="Times New Roman"/>
          <w:rFonts w:ascii="Times New Roman" w:hAnsi="Times New Roman"/>
          <w:b/>
          <w:i/>
          <w:sz w:val="24"/>
        </w:rPr>
        <w:t>4.5 Limitations</w:t>
      </w:r>
    </w:p>
    <w:p>
      <w:pPr>
        <w:spacing w:before="0" w:after="0"/>
        <w:ind w:firstLine="720"/>
        <w:jc w:val="left"/>
        <w:spacing w:line="480" w:lineRule="auto"/>
      </w:pPr>
      <w:r>
        <w:rPr>
          <w:rFonts w:ascii="Times New Roman" w:hAnsi="Times New Roman"/>
          <w:rFonts w:ascii="Times New Roman" w:hAnsi="Times New Roman"/>
          <w:b w:val="0"/>
          <w:i w:val="0"/>
          <w:sz w:val="24"/>
        </w:rPr>
        <w:t>Several limitations of the present review should be acknowledged, in order of their likely impact on conclusions.</w:t>
      </w:r>
    </w:p>
    <w:p>
      <w:pPr>
        <w:spacing w:before="0" w:after="0"/>
        <w:ind w:firstLine="720"/>
        <w:jc w:val="left"/>
        <w:spacing w:line="480" w:lineRule="auto"/>
      </w:pPr>
      <w:r>
        <w:rPr>
          <w:rFonts w:ascii="Times New Roman" w:hAnsi="Times New Roman"/>
          <w:rFonts w:ascii="Times New Roman" w:hAnsi="Times New Roman"/>
          <w:b w:val="0"/>
          <w:i w:val="0"/>
          <w:sz w:val="24"/>
        </w:rPr>
        <w:t>First, training dose information was incompletely reported in a substantial minority of studies (frequency: 33%; duration: 21%; sessions: 9%), limiting dose–response analyses. The patterns described in Section 3.4.4 should therefore be interpreted as hypothesis-generating rather than confirmatory.</w:t>
      </w:r>
    </w:p>
    <w:p>
      <w:pPr>
        <w:spacing w:before="0" w:after="0"/>
        <w:ind w:firstLine="720"/>
        <w:jc w:val="left"/>
        <w:spacing w:line="480" w:lineRule="auto"/>
      </w:pPr>
      <w:r>
        <w:rPr>
          <w:rFonts w:ascii="Times New Roman" w:hAnsi="Times New Roman"/>
          <w:rFonts w:ascii="Times New Roman" w:hAnsi="Times New Roman"/>
          <w:b w:val="0"/>
          <w:i w:val="0"/>
          <w:sz w:val="24"/>
        </w:rPr>
        <w:t>Second, the overall transfer conclusion field was initially populated through AI-assisted data extraction (PyMuPDF text parsing and structured extraction), with human verification covering the majority but not all studies. Residual coding errors cannot be excluded, and studies with complex or ambiguous results may have been misclassified. The cognitive process overlap classification is explicitly flagged as preliminary pending systematic human verification.</w:t>
      </w:r>
    </w:p>
    <w:p>
      <w:pPr>
        <w:spacing w:before="0" w:after="0"/>
        <w:ind w:firstLine="720"/>
        <w:jc w:val="left"/>
        <w:spacing w:line="480" w:lineRule="auto"/>
      </w:pPr>
      <w:r>
        <w:rPr>
          <w:rFonts w:ascii="Times New Roman" w:hAnsi="Times New Roman"/>
          <w:rFonts w:ascii="Times New Roman" w:hAnsi="Times New Roman"/>
          <w:b w:val="0"/>
          <w:i w:val="0"/>
          <w:sz w:val="24"/>
        </w:rPr>
        <w:t>Third, the narrative synthesis approach—adopted due to high methodological heterogeneity—inherently limits precision. Vote-counting treats all studies as equally informative regardless of sample size or statistical power, and cannot quantify effect sizes or their heterogeneity.</w:t>
      </w:r>
    </w:p>
    <w:p>
      <w:pPr>
        <w:spacing w:before="0" w:after="0"/>
        <w:ind w:firstLine="720"/>
        <w:jc w:val="left"/>
        <w:spacing w:line="480" w:lineRule="auto"/>
      </w:pPr>
      <w:r>
        <w:rPr>
          <w:rFonts w:ascii="Times New Roman" w:hAnsi="Times New Roman"/>
          <w:rFonts w:ascii="Times New Roman" w:hAnsi="Times New Roman"/>
          <w:b w:val="0"/>
          <w:i w:val="0"/>
          <w:sz w:val="24"/>
        </w:rPr>
        <w:t xml:space="preserve">Fourth, publication bias likely affects the available evidence base. The 10 extractable Cohen's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values yielded a median of 0.95, which is substantially higher than the meta-analytic estimates of near-zero far-transfer reported by Melby-Lervåg et al. (2016), suggesting that studies reporting quantitative effect sizes may not be representative. Grey literature (dissertations, conference proceedings) and null-result studies in non-indexed journals were not systematically captured in the present search.</w:t>
      </w:r>
    </w:p>
    <w:p>
      <w:pPr>
        <w:spacing w:before="240" w:after="120"/>
        <w:jc w:val="left"/>
        <w:spacing w:line="480" w:lineRule="auto"/>
      </w:pPr>
      <w:r>
        <w:rPr>
          <w:rFonts w:ascii="Times New Roman" w:hAnsi="Times New Roman"/>
          <w:rFonts w:ascii="Times New Roman" w:hAnsi="Times New Roman"/>
          <w:b/>
          <w:i w:val="0"/>
          <w:sz w:val="24"/>
        </w:rPr>
        <w:t>5. Conclusion</w:t>
      </w:r>
    </w:p>
    <w:p>
      <w:pPr>
        <w:spacing w:before="0" w:after="0"/>
        <w:ind w:firstLine="720"/>
        <w:jc w:val="left"/>
        <w:spacing w:line="480" w:lineRule="auto"/>
      </w:pPr>
      <w:r>
        <w:rPr>
          <w:rFonts w:ascii="Times New Roman" w:hAnsi="Times New Roman"/>
          <w:rFonts w:ascii="Times New Roman" w:hAnsi="Times New Roman"/>
          <w:b w:val="0"/>
          <w:i w:val="0"/>
          <w:sz w:val="24"/>
        </w:rPr>
        <w:t>Working memory training in healthy older adults produces reliable improvements on the trained criterion tasks but does not consistently generalize to untrained cognitive domains. Across 56 controlled studies spanning two decades of research, 63% found no significant between-group transfer effects under any outcome domain, with the proportion rising further when studies without active controls are excluded. The consistency of this null pattern—across training types, dosage ranges, and participant age strata—suggests that WM training in its current form produces limited cognitive benefits beyond practiced task performance.</w:t>
      </w:r>
    </w:p>
    <w:p>
      <w:pPr>
        <w:spacing w:before="0" w:after="0"/>
        <w:ind w:firstLine="720"/>
        <w:jc w:val="left"/>
        <w:spacing w:line="480" w:lineRule="auto"/>
      </w:pPr>
      <w:r>
        <w:rPr>
          <w:rFonts w:ascii="Times New Roman" w:hAnsi="Times New Roman"/>
          <w:rFonts w:ascii="Times New Roman" w:hAnsi="Times New Roman"/>
          <w:b w:val="0"/>
          <w:i w:val="0"/>
          <w:sz w:val="24"/>
        </w:rPr>
        <w:t>The present review contributes a cognitive process overlap framework as an analytical lens for understanding the boundaries of transfer. The literature's systematic skew toward high-overlap training designs (77% of included studies) may have created an artificially optimistic near-transfer landscape; when the three low-overlap positive findings are corrected for methodological confounds, the evidence for transfer across greater cognitive distance effectively vanishes. This distributional pattern itself—independent of any individual study's findings—reveals a structural gap in the field: the lack of studies systematically testing transfer across the full overlap continuum limits our understanding of how generalizable WM training truly can be.</w:t>
      </w:r>
    </w:p>
    <w:p>
      <w:pPr>
        <w:spacing w:before="0" w:after="0"/>
        <w:ind w:firstLine="720"/>
        <w:jc w:val="left"/>
        <w:spacing w:line="480" w:lineRule="auto"/>
      </w:pPr>
      <w:r>
        <w:rPr>
          <w:rFonts w:ascii="Times New Roman" w:hAnsi="Times New Roman"/>
          <w:rFonts w:ascii="Times New Roman" w:hAnsi="Times New Roman"/>
          <w:b w:val="0"/>
          <w:i w:val="0"/>
          <w:sz w:val="24"/>
        </w:rPr>
        <w:t>The path toward effective cognitive training interventions for older adults likely requires moving beyond generic WM practice toward individually tailored programs that match training design to participants' baseline ability, target functionally relevant cognitive domains, and are evaluated against rigorous active controls over extended follow-up periods. Baseline neural and cognitive profiling—particularly WM capacity, white matter integrity, and cortical activation patterns—may enable identification of training responders, offering a more targeted and ultimately more effective approach to cognitive aging intervention.</w:t>
      </w:r>
    </w:p>
    <w:p>
      <w:pPr>
        <w:spacing w:before="0" w:after="0"/>
        <w:ind w:firstLine="720"/>
        <w:jc w:val="left"/>
        <w:spacing w:line="480" w:lineRule="auto"/>
      </w:pPr>
      <w:r>
        <w:rPr>
          <w:rFonts w:ascii="Times New Roman" w:hAnsi="Times New Roman"/>
          <w:rFonts w:ascii="Times New Roman" w:hAnsi="Times New Roman"/>
          <w:b w:val="0"/>
          <w:i w:val="0"/>
          <w:sz w:val="24"/>
        </w:rPr>
        <w:t>## Declarations</w:t>
      </w:r>
    </w:p>
    <w:p>
      <w:pPr>
        <w:spacing w:before="0" w:after="0"/>
        <w:ind w:firstLine="720"/>
        <w:jc w:val="left"/>
        <w:spacing w:line="480" w:lineRule="auto"/>
      </w:pPr>
      <w:r>
        <w:rPr>
          <w:rFonts w:ascii="Times New Roman" w:hAnsi="Times New Roman"/>
          <w:rFonts w:ascii="Times New Roman" w:hAnsi="Times New Roman"/>
          <w:b w:val="0"/>
          <w:i w:val="0"/>
          <w:sz w:val="24"/>
        </w:rPr>
        <w:t>Conflict of Interest Statement: The authors declare that the research was conducted in the absence of any commercial or financial relationships that could be construed as a potential conflict of interest.</w:t>
      </w:r>
    </w:p>
    <w:p>
      <w:pPr>
        <w:spacing w:before="0" w:after="0"/>
        <w:ind w:firstLine="720"/>
        <w:jc w:val="left"/>
        <w:spacing w:line="480" w:lineRule="auto"/>
      </w:pPr>
      <w:r>
        <w:rPr>
          <w:rFonts w:ascii="Times New Roman" w:hAnsi="Times New Roman"/>
          <w:rFonts w:ascii="Times New Roman" w:hAnsi="Times New Roman"/>
          <w:b w:val="0"/>
          <w:i w:val="0"/>
          <w:sz w:val="24"/>
        </w:rPr>
        <w:t>Funding: This research received no specific grant from any funding agency in the public, commercial, or not-for-profit sectors.</w:t>
      </w:r>
    </w:p>
    <w:p>
      <w:pPr>
        <w:spacing w:before="0" w:after="0"/>
        <w:ind w:firstLine="720"/>
        <w:jc w:val="left"/>
        <w:spacing w:line="480" w:lineRule="auto"/>
      </w:pPr>
      <w:r>
        <w:rPr>
          <w:rFonts w:ascii="Times New Roman" w:hAnsi="Times New Roman"/>
          <w:rFonts w:ascii="Times New Roman" w:hAnsi="Times New Roman"/>
          <w:b w:val="0"/>
          <w:i w:val="0"/>
          <w:sz w:val="24"/>
        </w:rPr>
        <w:t>Ethics Statement: This systematic review is based entirely on previously published data. No primary data collection involving human participants was conducted; therefore, ethical approval was not required.</w:t>
      </w:r>
    </w:p>
    <w:p>
      <w:r>
        <w:br w:type="page"/>
      </w:r>
    </w:p>
    <w:p>
      <w:pPr>
        <w:spacing w:before="240" w:after="120"/>
        <w:jc w:val="left"/>
        <w:spacing w:line="480" w:lineRule="auto"/>
      </w:pPr>
      <w:r>
        <w:rPr>
          <w:rFonts w:ascii="Times New Roman" w:hAnsi="Times New Roman"/>
          <w:rFonts w:ascii="Times New Roman" w:hAnsi="Times New Roman"/>
          <w:b/>
          <w:i w:val="0"/>
          <w:sz w:val="24"/>
        </w:rPr>
        <w:t>References</w:t>
      </w:r>
    </w:p>
    <w:p>
      <w:pPr>
        <w:spacing w:after="120"/>
        <w:ind w:left="720" w:hanging="720"/>
        <w:spacing w:line="240" w:lineRule="auto"/>
      </w:pPr>
      <w:r>
        <w:rPr>
          <w:rFonts w:ascii="Times New Roman" w:hAnsi="Times New Roman"/>
          <w:rFonts w:ascii="Times New Roman" w:hAnsi="Times New Roman"/>
          <w:b w:val="0"/>
          <w:i/>
          <w:sz w:val="24"/>
        </w:rPr>
        <w:t>APA 7th Edition. Sorted alphabetically by first author surname.</w:t>
      </w:r>
    </w:p>
    <w:p>
      <w:pPr>
        <w:spacing w:after="120"/>
        <w:ind w:left="720" w:hanging="720"/>
        <w:spacing w:line="240" w:lineRule="auto"/>
      </w:pPr>
      <w:r>
        <w:rPr>
          <w:rFonts w:ascii="Times New Roman" w:hAnsi="Times New Roman"/>
          <w:rFonts w:ascii="Times New Roman" w:hAnsi="Times New Roman"/>
          <w:b w:val="0"/>
          <w:i/>
          <w:sz w:val="24"/>
        </w:rPr>
        <w:t>Compiled 2026-04-06. All 56 included studies + key methodological references.</w:t>
      </w:r>
    </w:p>
    <w:p>
      <w:pPr>
        <w:spacing w:after="120"/>
        <w:ind w:left="720" w:hanging="720"/>
        <w:spacing w:line="240" w:lineRule="auto"/>
      </w:pPr>
      <w:r>
        <w:rPr>
          <w:rFonts w:ascii="Times New Roman" w:hAnsi="Times New Roman"/>
          <w:rFonts w:ascii="Times New Roman" w:hAnsi="Times New Roman"/>
          <w:b w:val="0"/>
          <w:i w:val="0"/>
          <w:sz w:val="24"/>
        </w:rPr>
        <w:t xml:space="preserve">Antonenko, D., Thams, F., Grittner, U., Uhrich, J., Glöckner, F., Li, S.-C., &amp; Flöel, A. (2022). Randomized trial of cognitive training and brain stimulation in non-demented older adults. </w:t>
      </w:r>
      <w:r>
        <w:rPr>
          <w:rFonts w:ascii="Times New Roman" w:hAnsi="Times New Roman"/>
          <w:rFonts w:ascii="Times New Roman" w:hAnsi="Times New Roman"/>
          <w:b w:val="0"/>
          <w:i/>
          <w:sz w:val="24"/>
        </w:rPr>
        <w:t>Alzheimer's &amp; Dementia: Translational Research &amp; Clinical Interventions, 8</w:t>
      </w:r>
      <w:r>
        <w:rPr>
          <w:rFonts w:ascii="Times New Roman" w:hAnsi="Times New Roman"/>
          <w:rFonts w:ascii="Times New Roman" w:hAnsi="Times New Roman"/>
          <w:b w:val="0"/>
          <w:i w:val="0"/>
          <w:sz w:val="24"/>
        </w:rPr>
        <w:t>(1), e12262. https://doi.org/10.1002/trc2.12262</w:t>
      </w:r>
    </w:p>
    <w:p>
      <w:pPr>
        <w:spacing w:after="120"/>
        <w:ind w:left="720" w:hanging="720"/>
        <w:spacing w:line="240" w:lineRule="auto"/>
      </w:pPr>
      <w:r>
        <w:rPr>
          <w:rFonts w:ascii="Times New Roman" w:hAnsi="Times New Roman"/>
          <w:rFonts w:ascii="Times New Roman" w:hAnsi="Times New Roman"/>
          <w:b w:val="0"/>
          <w:i w:val="0"/>
          <w:sz w:val="24"/>
        </w:rPr>
        <w:t xml:space="preserve">Assecondi, S., Conte, S., Duecker, F., Porta, M., &amp; Sack, A. T. (2022). Older adults with lower working memory capacity benefit from transcranial direct current stimulation when combined with working memory training. </w:t>
      </w:r>
      <w:r>
        <w:rPr>
          <w:rFonts w:ascii="Times New Roman" w:hAnsi="Times New Roman"/>
          <w:rFonts w:ascii="Times New Roman" w:hAnsi="Times New Roman"/>
          <w:b w:val="0"/>
          <w:i/>
          <w:sz w:val="24"/>
        </w:rPr>
        <w:t>Frontiers in Aging Neuroscience, 14</w:t>
      </w:r>
      <w:r>
        <w:rPr>
          <w:rFonts w:ascii="Times New Roman" w:hAnsi="Times New Roman"/>
          <w:rFonts w:ascii="Times New Roman" w:hAnsi="Times New Roman"/>
          <w:b w:val="0"/>
          <w:i w:val="0"/>
          <w:sz w:val="24"/>
        </w:rPr>
        <w:t>, 1009262. https://doi.org/10.3389/fnagi.2022.1009262</w:t>
      </w:r>
    </w:p>
    <w:p>
      <w:pPr>
        <w:spacing w:after="120"/>
        <w:ind w:left="720" w:hanging="720"/>
        <w:spacing w:line="240" w:lineRule="auto"/>
      </w:pPr>
      <w:r>
        <w:rPr>
          <w:rFonts w:ascii="Times New Roman" w:hAnsi="Times New Roman"/>
          <w:rFonts w:ascii="Times New Roman" w:hAnsi="Times New Roman"/>
          <w:b w:val="0"/>
          <w:i w:val="0"/>
          <w:sz w:val="24"/>
        </w:rPr>
        <w:t xml:space="preserve">Basak, C., Voss, M. W., Erickson, K. I., Kim, J.-S., &amp; Kramer, A. F. (2016). To switch or not to switch: Role of cognitive control in working memory training in older adults. </w:t>
      </w:r>
      <w:r>
        <w:rPr>
          <w:rFonts w:ascii="Times New Roman" w:hAnsi="Times New Roman"/>
          <w:rFonts w:ascii="Times New Roman" w:hAnsi="Times New Roman"/>
          <w:b w:val="0"/>
          <w:i/>
          <w:sz w:val="24"/>
        </w:rPr>
        <w:t>Frontiers in Psychology, 7</w:t>
      </w:r>
      <w:r>
        <w:rPr>
          <w:rFonts w:ascii="Times New Roman" w:hAnsi="Times New Roman"/>
          <w:rFonts w:ascii="Times New Roman" w:hAnsi="Times New Roman"/>
          <w:b w:val="0"/>
          <w:i w:val="0"/>
          <w:sz w:val="24"/>
        </w:rPr>
        <w:t>, 230. https://doi.org/10.3389/fpsyg.2016.00230</w:t>
      </w:r>
    </w:p>
    <w:p>
      <w:pPr>
        <w:spacing w:after="120"/>
        <w:ind w:left="720" w:hanging="720"/>
        <w:spacing w:line="240" w:lineRule="auto"/>
      </w:pPr>
      <w:r>
        <w:rPr>
          <w:rFonts w:ascii="Times New Roman" w:hAnsi="Times New Roman"/>
          <w:rFonts w:ascii="Times New Roman" w:hAnsi="Times New Roman"/>
          <w:b w:val="0"/>
          <w:i w:val="0"/>
          <w:sz w:val="24"/>
        </w:rPr>
        <w:t xml:space="preserve">Booth, S. J., Kitching, R., Hutchison, J., &amp; Pobric, G. (2023). Experimental investigation of training schedule on home-based working memory training in healthy older adults. </w:t>
      </w:r>
      <w:r>
        <w:rPr>
          <w:rFonts w:ascii="Times New Roman" w:hAnsi="Times New Roman"/>
          <w:rFonts w:ascii="Times New Roman" w:hAnsi="Times New Roman"/>
          <w:b w:val="0"/>
          <w:i/>
          <w:sz w:val="24"/>
        </w:rPr>
        <w:t>Frontiers in Psychology, 14</w:t>
      </w:r>
      <w:r>
        <w:rPr>
          <w:rFonts w:ascii="Times New Roman" w:hAnsi="Times New Roman"/>
          <w:rFonts w:ascii="Times New Roman" w:hAnsi="Times New Roman"/>
          <w:b w:val="0"/>
          <w:i w:val="0"/>
          <w:sz w:val="24"/>
        </w:rPr>
        <w:t>, 1165275. https://doi.org/10.3389/fpsyg.2023.1165275</w:t>
      </w:r>
    </w:p>
    <w:p>
      <w:pPr>
        <w:spacing w:after="120"/>
        <w:ind w:left="720" w:hanging="720"/>
        <w:spacing w:line="240" w:lineRule="auto"/>
      </w:pPr>
      <w:r>
        <w:rPr>
          <w:rFonts w:ascii="Times New Roman" w:hAnsi="Times New Roman"/>
          <w:rFonts w:ascii="Times New Roman" w:hAnsi="Times New Roman"/>
          <w:b w:val="0"/>
          <w:i w:val="0"/>
          <w:sz w:val="24"/>
        </w:rPr>
        <w:t xml:space="preserve">Borella, E., Cantarella, A., Carretti, B., De Lucia, A., &amp; De Beni, R. (2019). Improving everyday functioning in the old-old with working memory training. </w:t>
      </w:r>
      <w:r>
        <w:rPr>
          <w:rFonts w:ascii="Times New Roman" w:hAnsi="Times New Roman"/>
          <w:rFonts w:ascii="Times New Roman" w:hAnsi="Times New Roman"/>
          <w:b w:val="0"/>
          <w:i/>
          <w:sz w:val="24"/>
        </w:rPr>
        <w:t>American Journal of Geriatric Psychiatry, 27</w:t>
      </w:r>
      <w:r>
        <w:rPr>
          <w:rFonts w:ascii="Times New Roman" w:hAnsi="Times New Roman"/>
          <w:rFonts w:ascii="Times New Roman" w:hAnsi="Times New Roman"/>
          <w:b w:val="0"/>
          <w:i w:val="0"/>
          <w:sz w:val="24"/>
        </w:rPr>
        <w:t>(9), 982–996. https://doi.org/10.1016/j.jagp.2019.01.210</w:t>
      </w:r>
    </w:p>
    <w:p>
      <w:pPr>
        <w:spacing w:after="120"/>
        <w:ind w:left="720" w:hanging="720"/>
        <w:spacing w:line="240" w:lineRule="auto"/>
      </w:pPr>
      <w:r>
        <w:rPr>
          <w:rFonts w:ascii="Times New Roman" w:hAnsi="Times New Roman"/>
          <w:rFonts w:ascii="Times New Roman" w:hAnsi="Times New Roman"/>
          <w:b w:val="0"/>
          <w:i w:val="0"/>
          <w:sz w:val="24"/>
        </w:rPr>
        <w:t xml:space="preserve">Borella, E., Carretti, B., Meneghetti, C., Carbone, E., Vincenzi, M., Madonna, J. C., Grassi, M., Fairfield, B., &amp; Mammarella, N. (2019). Is working memory training in older adults sensitive to music? </w:t>
      </w:r>
      <w:r>
        <w:rPr>
          <w:rFonts w:ascii="Times New Roman" w:hAnsi="Times New Roman"/>
          <w:rFonts w:ascii="Times New Roman" w:hAnsi="Times New Roman"/>
          <w:b w:val="0"/>
          <w:i/>
          <w:sz w:val="24"/>
        </w:rPr>
        <w:t>Psychological Research, 83</w:t>
      </w:r>
      <w:r>
        <w:rPr>
          <w:rFonts w:ascii="Times New Roman" w:hAnsi="Times New Roman"/>
          <w:rFonts w:ascii="Times New Roman" w:hAnsi="Times New Roman"/>
          <w:b w:val="0"/>
          <w:i w:val="0"/>
          <w:sz w:val="24"/>
        </w:rPr>
        <w:t>(6), 1303–1323. https://doi.org/10.1007/s00426-017-0961-8</w:t>
      </w:r>
    </w:p>
    <w:p>
      <w:pPr>
        <w:spacing w:after="120"/>
        <w:ind w:left="720" w:hanging="720"/>
        <w:spacing w:line="240" w:lineRule="auto"/>
      </w:pPr>
      <w:r>
        <w:rPr>
          <w:rFonts w:ascii="Times New Roman" w:hAnsi="Times New Roman"/>
          <w:rFonts w:ascii="Times New Roman" w:hAnsi="Times New Roman"/>
          <w:b w:val="0"/>
          <w:i w:val="0"/>
          <w:sz w:val="24"/>
        </w:rPr>
        <w:t xml:space="preserve">Borella, E., Carretti, B., Zanoni, G., Zavagnin, M., &amp; De Beni, R. (2013). Working memory training in old age: An examination of transfer and maintenance effects. </w:t>
      </w:r>
      <w:r>
        <w:rPr>
          <w:rFonts w:ascii="Times New Roman" w:hAnsi="Times New Roman"/>
          <w:rFonts w:ascii="Times New Roman" w:hAnsi="Times New Roman"/>
          <w:b w:val="0"/>
          <w:i/>
          <w:sz w:val="24"/>
        </w:rPr>
        <w:t>Archives of Clinical Neuropsychology, 28</w:t>
      </w:r>
      <w:r>
        <w:rPr>
          <w:rFonts w:ascii="Times New Roman" w:hAnsi="Times New Roman"/>
          <w:rFonts w:ascii="Times New Roman" w:hAnsi="Times New Roman"/>
          <w:b w:val="0"/>
          <w:i w:val="0"/>
          <w:sz w:val="24"/>
        </w:rPr>
        <w:t>(4), 331–347. https://doi.org/10.1093/arclin/act020</w:t>
      </w:r>
    </w:p>
    <w:p>
      <w:pPr>
        <w:spacing w:after="120"/>
        <w:ind w:left="720" w:hanging="720"/>
        <w:spacing w:line="240" w:lineRule="auto"/>
      </w:pPr>
      <w:r>
        <w:rPr>
          <w:rFonts w:ascii="Times New Roman" w:hAnsi="Times New Roman"/>
          <w:rFonts w:ascii="Times New Roman" w:hAnsi="Times New Roman"/>
          <w:b w:val="0"/>
          <w:i w:val="0"/>
          <w:sz w:val="24"/>
        </w:rPr>
        <w:t xml:space="preserve">Borella, E., de Simoni, C., Carbone, E., Meneghetti, C., Gaggi, R., Mammarella, N., &amp; Fairfield, B. (2025). Short- and long-term cognitive and electrophysiological effects of a brief working memory training in older adults: A pilot study. </w:t>
      </w:r>
      <w:r>
        <w:rPr>
          <w:rFonts w:ascii="Times New Roman" w:hAnsi="Times New Roman"/>
          <w:rFonts w:ascii="Times New Roman" w:hAnsi="Times New Roman"/>
          <w:b w:val="0"/>
          <w:i/>
          <w:sz w:val="24"/>
        </w:rPr>
        <w:t>Aging &amp; Mental Health.</w:t>
      </w:r>
      <w:r>
        <w:rPr>
          <w:rFonts w:ascii="Times New Roman" w:hAnsi="Times New Roman"/>
          <w:rFonts w:ascii="Times New Roman" w:hAnsi="Times New Roman"/>
          <w:b w:val="0"/>
          <w:i w:val="0"/>
          <w:sz w:val="24"/>
        </w:rPr>
        <w:t xml:space="preserve"> https://doi.org/10.1080/13607863.2024.2444461</w:t>
      </w:r>
    </w:p>
    <w:p>
      <w:pPr>
        <w:spacing w:after="120"/>
        <w:ind w:left="720" w:hanging="720"/>
        <w:spacing w:line="240" w:lineRule="auto"/>
      </w:pPr>
      <w:r>
        <w:rPr>
          <w:rFonts w:ascii="Times New Roman" w:hAnsi="Times New Roman"/>
          <w:rFonts w:ascii="Times New Roman" w:hAnsi="Times New Roman"/>
          <w:b w:val="0"/>
          <w:i w:val="0"/>
          <w:sz w:val="24"/>
        </w:rPr>
        <w:t xml:space="preserve">Borella, E., Ghisletta, P., Carretti, B., Kliegel, M., Röcke, C., &amp; Laukka, E. J. (2017). Working memory training for healthy older adults: The role of individual characteristics in explaining short- and long-term training gains. </w:t>
      </w:r>
      <w:r>
        <w:rPr>
          <w:rFonts w:ascii="Times New Roman" w:hAnsi="Times New Roman"/>
          <w:rFonts w:ascii="Times New Roman" w:hAnsi="Times New Roman"/>
          <w:b w:val="0"/>
          <w:i/>
          <w:sz w:val="24"/>
        </w:rPr>
        <w:t>Frontiers in Human Neuroscience, 11</w:t>
      </w:r>
      <w:r>
        <w:rPr>
          <w:rFonts w:ascii="Times New Roman" w:hAnsi="Times New Roman"/>
          <w:rFonts w:ascii="Times New Roman" w:hAnsi="Times New Roman"/>
          <w:b w:val="0"/>
          <w:i w:val="0"/>
          <w:sz w:val="24"/>
        </w:rPr>
        <w:t>, 99. https://doi.org/10.3389/fnhum.2017.00099</w:t>
      </w:r>
    </w:p>
    <w:p>
      <w:pPr>
        <w:spacing w:after="120"/>
        <w:ind w:left="720" w:hanging="720"/>
        <w:spacing w:line="240" w:lineRule="auto"/>
      </w:pPr>
      <w:r>
        <w:rPr>
          <w:rFonts w:ascii="Times New Roman" w:hAnsi="Times New Roman"/>
          <w:rFonts w:ascii="Times New Roman" w:hAnsi="Times New Roman"/>
          <w:b w:val="0"/>
          <w:i w:val="0"/>
          <w:sz w:val="24"/>
        </w:rPr>
        <w:t xml:space="preserve">Boutzoukas, E. M., O'Shea, A., Kraft, J. N., Hardcastle, C., Evangelista, N. D., Hausman, H. K., Albizu, A., Van Etten, E. J., Bharadwaj, P. K., Song, H., Porges, E., Cohen, R., &amp; Woods, A. J. (2022). Higher white matter hyperintensity load adversely affects pre-post proximal cognitive training performance in healthy older adults. </w:t>
      </w:r>
      <w:r>
        <w:rPr>
          <w:rFonts w:ascii="Times New Roman" w:hAnsi="Times New Roman"/>
          <w:rFonts w:ascii="Times New Roman" w:hAnsi="Times New Roman"/>
          <w:b w:val="0"/>
          <w:i/>
          <w:sz w:val="24"/>
        </w:rPr>
        <w:t>GeroScience, 44</w:t>
      </w:r>
      <w:r>
        <w:rPr>
          <w:rFonts w:ascii="Times New Roman" w:hAnsi="Times New Roman"/>
          <w:rFonts w:ascii="Times New Roman" w:hAnsi="Times New Roman"/>
          <w:b w:val="0"/>
          <w:i w:val="0"/>
          <w:sz w:val="24"/>
        </w:rPr>
        <w:t>(6), 2939–2953. https://doi.org/10.1007/s11357-022-00538-y</w:t>
      </w:r>
    </w:p>
    <w:p>
      <w:pPr>
        <w:spacing w:after="120"/>
        <w:ind w:left="720" w:hanging="720"/>
        <w:spacing w:line="240" w:lineRule="auto"/>
      </w:pPr>
      <w:r>
        <w:rPr>
          <w:rFonts w:ascii="Times New Roman" w:hAnsi="Times New Roman"/>
          <w:rFonts w:ascii="Times New Roman" w:hAnsi="Times New Roman"/>
          <w:b w:val="0"/>
          <w:i w:val="0"/>
          <w:sz w:val="24"/>
        </w:rPr>
        <w:t xml:space="preserve">Brambilla, M., Manenti, R., Ferrari, C., Cotelli, M., Perini, M., Ruggiero, F., Pisoni, A., De Luca, G., Vecchi, T., &amp; Crivelli, D. (2021). The effect of transcranial random noise stimulation on cognitive training outcome in healthy aging. </w:t>
      </w:r>
      <w:r>
        <w:rPr>
          <w:rFonts w:ascii="Times New Roman" w:hAnsi="Times New Roman"/>
          <w:rFonts w:ascii="Times New Roman" w:hAnsi="Times New Roman"/>
          <w:b w:val="0"/>
          <w:i/>
          <w:sz w:val="24"/>
        </w:rPr>
        <w:t>Frontiers in Neurology, 12</w:t>
      </w:r>
      <w:r>
        <w:rPr>
          <w:rFonts w:ascii="Times New Roman" w:hAnsi="Times New Roman"/>
          <w:rFonts w:ascii="Times New Roman" w:hAnsi="Times New Roman"/>
          <w:b w:val="0"/>
          <w:i w:val="0"/>
          <w:sz w:val="24"/>
        </w:rPr>
        <w:t>, 625359. https://doi.org/10.3389/fneur.2021.625359</w:t>
      </w:r>
    </w:p>
    <w:p>
      <w:pPr>
        <w:spacing w:after="120"/>
        <w:ind w:left="720" w:hanging="720"/>
        <w:spacing w:line="240" w:lineRule="auto"/>
      </w:pPr>
      <w:r>
        <w:rPr>
          <w:rFonts w:ascii="Times New Roman" w:hAnsi="Times New Roman"/>
          <w:rFonts w:ascii="Times New Roman" w:hAnsi="Times New Roman"/>
          <w:b w:val="0"/>
          <w:i w:val="0"/>
          <w:sz w:val="24"/>
        </w:rPr>
        <w:t xml:space="preserve">Brum, P. S., Borella, E., Carretti, B., &amp; Sánchez Magalhães, M. V. (2020). Verbal working memory training in older adults: An investigation of dose response effects. </w:t>
      </w:r>
      <w:r>
        <w:rPr>
          <w:rFonts w:ascii="Times New Roman" w:hAnsi="Times New Roman"/>
          <w:rFonts w:ascii="Times New Roman" w:hAnsi="Times New Roman"/>
          <w:b w:val="0"/>
          <w:i/>
          <w:sz w:val="24"/>
        </w:rPr>
        <w:t>Aging &amp; Mental Health, 24</w:t>
      </w:r>
      <w:r>
        <w:rPr>
          <w:rFonts w:ascii="Times New Roman" w:hAnsi="Times New Roman"/>
          <w:rFonts w:ascii="Times New Roman" w:hAnsi="Times New Roman"/>
          <w:b w:val="0"/>
          <w:i w:val="0"/>
          <w:sz w:val="24"/>
        </w:rPr>
        <w:t>(2), 304–313. https://doi.org/10.1080/13607863.2018.1531376</w:t>
      </w:r>
    </w:p>
    <w:p>
      <w:pPr>
        <w:spacing w:after="120"/>
        <w:ind w:left="720" w:hanging="720"/>
        <w:spacing w:line="240" w:lineRule="auto"/>
      </w:pPr>
      <w:r>
        <w:rPr>
          <w:rFonts w:ascii="Times New Roman" w:hAnsi="Times New Roman"/>
          <w:rFonts w:ascii="Times New Roman" w:hAnsi="Times New Roman"/>
          <w:b w:val="0"/>
          <w:i w:val="0"/>
          <w:sz w:val="24"/>
        </w:rPr>
        <w:t xml:space="preserve">Bürki, C. N., Ludwig, C., Chicherio, C., &amp; de Ribaupierre, A. (2014). Individual differences in cognitive plasticity: An investigation of training curves in younger and older adults. </w:t>
      </w:r>
      <w:r>
        <w:rPr>
          <w:rFonts w:ascii="Times New Roman" w:hAnsi="Times New Roman"/>
          <w:rFonts w:ascii="Times New Roman" w:hAnsi="Times New Roman"/>
          <w:b w:val="0"/>
          <w:i/>
          <w:sz w:val="24"/>
        </w:rPr>
        <w:t>Psychological Research, 78</w:t>
      </w:r>
      <w:r>
        <w:rPr>
          <w:rFonts w:ascii="Times New Roman" w:hAnsi="Times New Roman"/>
          <w:rFonts w:ascii="Times New Roman" w:hAnsi="Times New Roman"/>
          <w:b w:val="0"/>
          <w:i w:val="0"/>
          <w:sz w:val="24"/>
        </w:rPr>
        <w:t>(6), 821–835. https://doi.org/10.1007/s00426-014-0559-3</w:t>
      </w:r>
    </w:p>
    <w:p>
      <w:pPr>
        <w:spacing w:after="120"/>
        <w:ind w:left="720" w:hanging="720"/>
        <w:spacing w:line="240" w:lineRule="auto"/>
      </w:pPr>
      <w:r>
        <w:rPr>
          <w:rFonts w:ascii="Times New Roman" w:hAnsi="Times New Roman"/>
          <w:rFonts w:ascii="Times New Roman" w:hAnsi="Times New Roman"/>
          <w:b w:val="0"/>
          <w:i w:val="0"/>
          <w:sz w:val="24"/>
        </w:rPr>
        <w:t xml:space="preserve">Buschkuehl, M., Jaeggi, S. M., Hutchison, S., Perrig-Chiello, P., Däpp, C., Müller, M., Breil, F., Hoppeler, H., &amp; Perrig, W. J. (2008). Impact of working memory training on memory performance in old-old adults. </w:t>
      </w:r>
      <w:r>
        <w:rPr>
          <w:rFonts w:ascii="Times New Roman" w:hAnsi="Times New Roman"/>
          <w:rFonts w:ascii="Times New Roman" w:hAnsi="Times New Roman"/>
          <w:b w:val="0"/>
          <w:i/>
          <w:sz w:val="24"/>
        </w:rPr>
        <w:t>Psychology and Aging, 23</w:t>
      </w:r>
      <w:r>
        <w:rPr>
          <w:rFonts w:ascii="Times New Roman" w:hAnsi="Times New Roman"/>
          <w:rFonts w:ascii="Times New Roman" w:hAnsi="Times New Roman"/>
          <w:b w:val="0"/>
          <w:i w:val="0"/>
          <w:sz w:val="24"/>
        </w:rPr>
        <w:t>(4), 743–753. https://doi.org/10.1037/a0014342</w:t>
      </w:r>
    </w:p>
    <w:p>
      <w:pPr>
        <w:spacing w:after="120"/>
        <w:ind w:left="720" w:hanging="720"/>
        <w:spacing w:line="240" w:lineRule="auto"/>
      </w:pPr>
      <w:r>
        <w:rPr>
          <w:rFonts w:ascii="Times New Roman" w:hAnsi="Times New Roman"/>
          <w:rFonts w:ascii="Times New Roman" w:hAnsi="Times New Roman"/>
          <w:b w:val="0"/>
          <w:i w:val="0"/>
          <w:sz w:val="24"/>
        </w:rPr>
        <w:t xml:space="preserve">Cantarella, A., Borella, E., Carretti, B., Kliegel, M., &amp; de Beni, R. (2017). Benefits in tasks related to everyday life competences after a working memory training in older adults. </w:t>
      </w:r>
      <w:r>
        <w:rPr>
          <w:rFonts w:ascii="Times New Roman" w:hAnsi="Times New Roman"/>
          <w:rFonts w:ascii="Times New Roman" w:hAnsi="Times New Roman"/>
          <w:b w:val="0"/>
          <w:i/>
          <w:sz w:val="24"/>
        </w:rPr>
        <w:t>International Journal of Geriatric Psychiatry, 32</w:t>
      </w:r>
      <w:r>
        <w:rPr>
          <w:rFonts w:ascii="Times New Roman" w:hAnsi="Times New Roman"/>
          <w:rFonts w:ascii="Times New Roman" w:hAnsi="Times New Roman"/>
          <w:b w:val="0"/>
          <w:i w:val="0"/>
          <w:sz w:val="24"/>
        </w:rPr>
        <w:t>(1), 86–93. https://doi.org/10.1002/gps.4448</w:t>
      </w:r>
    </w:p>
    <w:p>
      <w:pPr>
        <w:spacing w:after="120"/>
        <w:ind w:left="720" w:hanging="720"/>
        <w:spacing w:line="240" w:lineRule="auto"/>
      </w:pPr>
      <w:r>
        <w:rPr>
          <w:rFonts w:ascii="Times New Roman" w:hAnsi="Times New Roman"/>
          <w:rFonts w:ascii="Times New Roman" w:hAnsi="Times New Roman"/>
          <w:b w:val="0"/>
          <w:i w:val="0"/>
          <w:sz w:val="24"/>
        </w:rPr>
        <w:t xml:space="preserve">Cantarella, A., Borella, E., Carbone, E., Meneghetti, C., &amp; Fairfield, B. (2021). The influence of training task stimuli on transfer effects of working memory training in aging. </w:t>
      </w:r>
      <w:r>
        <w:rPr>
          <w:rFonts w:ascii="Times New Roman" w:hAnsi="Times New Roman"/>
          <w:rFonts w:ascii="Times New Roman" w:hAnsi="Times New Roman"/>
          <w:b w:val="0"/>
          <w:i/>
          <w:sz w:val="24"/>
        </w:rPr>
        <w:t>Psychologie Française, 66</w:t>
      </w:r>
      <w:r>
        <w:rPr>
          <w:rFonts w:ascii="Times New Roman" w:hAnsi="Times New Roman"/>
          <w:rFonts w:ascii="Times New Roman" w:hAnsi="Times New Roman"/>
          <w:b w:val="0"/>
          <w:i w:val="0"/>
          <w:sz w:val="24"/>
        </w:rPr>
        <w:t>(2), 175–192. https://doi.org/10.1016/j.psfr.2017.04.005</w:t>
      </w:r>
    </w:p>
    <w:p>
      <w:pPr>
        <w:spacing w:after="120"/>
        <w:ind w:left="720" w:hanging="720"/>
        <w:spacing w:line="240" w:lineRule="auto"/>
      </w:pPr>
      <w:r>
        <w:rPr>
          <w:rFonts w:ascii="Times New Roman" w:hAnsi="Times New Roman"/>
          <w:rFonts w:ascii="Times New Roman" w:hAnsi="Times New Roman"/>
          <w:b w:val="0"/>
          <w:i w:val="0"/>
          <w:sz w:val="24"/>
        </w:rPr>
        <w:t xml:space="preserve">Carretti, B., Borella, E., Zavagnin, M., &amp; de Beni, R. (2013). Gains in language comprehension relating to working memory training in healthy older adults. </w:t>
      </w:r>
      <w:r>
        <w:rPr>
          <w:rFonts w:ascii="Times New Roman" w:hAnsi="Times New Roman"/>
          <w:rFonts w:ascii="Times New Roman" w:hAnsi="Times New Roman"/>
          <w:b w:val="0"/>
          <w:i/>
          <w:sz w:val="24"/>
        </w:rPr>
        <w:t>International Journal of Geriatric Psychiatry, 28</w:t>
      </w:r>
      <w:r>
        <w:rPr>
          <w:rFonts w:ascii="Times New Roman" w:hAnsi="Times New Roman"/>
          <w:rFonts w:ascii="Times New Roman" w:hAnsi="Times New Roman"/>
          <w:b w:val="0"/>
          <w:i w:val="0"/>
          <w:sz w:val="24"/>
        </w:rPr>
        <w:t>(5), 539–546. https://doi.org/10.1002/gps.3859</w:t>
      </w:r>
    </w:p>
    <w:p>
      <w:pPr>
        <w:spacing w:after="120"/>
        <w:ind w:left="720" w:hanging="720"/>
        <w:spacing w:line="240" w:lineRule="auto"/>
      </w:pPr>
      <w:r>
        <w:rPr>
          <w:rFonts w:ascii="Times New Roman" w:hAnsi="Times New Roman"/>
          <w:rFonts w:ascii="Times New Roman" w:hAnsi="Times New Roman"/>
          <w:b w:val="0"/>
          <w:i w:val="0"/>
          <w:sz w:val="24"/>
        </w:rPr>
        <w:t xml:space="preserve">Chai, Q., Ma, J., &amp; Zhou, J. (2026). The impact of working memory training on cognitive reappraisal ability among older women. </w:t>
      </w:r>
      <w:r>
        <w:rPr>
          <w:rFonts w:ascii="Times New Roman" w:hAnsi="Times New Roman"/>
          <w:rFonts w:ascii="Times New Roman" w:hAnsi="Times New Roman"/>
          <w:b w:val="0"/>
          <w:i/>
          <w:sz w:val="24"/>
        </w:rPr>
        <w:t>Journal of Cognitive Enhancement.</w:t>
      </w:r>
      <w:r>
        <w:rPr>
          <w:rFonts w:ascii="Times New Roman" w:hAnsi="Times New Roman"/>
          <w:rFonts w:ascii="Times New Roman" w:hAnsi="Times New Roman"/>
          <w:b w:val="0"/>
          <w:i w:val="0"/>
          <w:sz w:val="24"/>
        </w:rPr>
        <w:t xml:space="preserve"> https://doi.org/10.1007/s41465-026-00354-8</w:t>
      </w:r>
    </w:p>
    <w:p>
      <w:pPr>
        <w:spacing w:after="120"/>
        <w:ind w:left="720" w:hanging="720"/>
        <w:spacing w:line="240" w:lineRule="auto"/>
      </w:pPr>
      <w:r>
        <w:rPr>
          <w:rFonts w:ascii="Times New Roman" w:hAnsi="Times New Roman"/>
          <w:rFonts w:ascii="Times New Roman" w:hAnsi="Times New Roman"/>
          <w:b w:val="0"/>
          <w:i w:val="0"/>
          <w:sz w:val="24"/>
        </w:rPr>
        <w:t xml:space="preserve">Ghavidel, F., Salehi Fadardi, J., Gatto, N. M., Sedaghat, F., &amp; Tabibi, Z. (2020). Feasibility of using a computer-assisted working memory training program for healthy older women. </w:t>
      </w:r>
      <w:r>
        <w:rPr>
          <w:rFonts w:ascii="Times New Roman" w:hAnsi="Times New Roman"/>
          <w:rFonts w:ascii="Times New Roman" w:hAnsi="Times New Roman"/>
          <w:b w:val="0"/>
          <w:i/>
          <w:sz w:val="24"/>
        </w:rPr>
        <w:t>Cognitive Processing, 21</w:t>
      </w:r>
      <w:r>
        <w:rPr>
          <w:rFonts w:ascii="Times New Roman" w:hAnsi="Times New Roman"/>
          <w:rFonts w:ascii="Times New Roman" w:hAnsi="Times New Roman"/>
          <w:b w:val="0"/>
          <w:i w:val="0"/>
          <w:sz w:val="24"/>
        </w:rPr>
        <w:t>(3), 395–407. https://doi.org/10.1007/s10339-020-00975-7</w:t>
      </w:r>
    </w:p>
    <w:p>
      <w:pPr>
        <w:spacing w:after="120"/>
        <w:ind w:left="720" w:hanging="720"/>
        <w:spacing w:line="240" w:lineRule="auto"/>
      </w:pPr>
      <w:r>
        <w:rPr>
          <w:rFonts w:ascii="Times New Roman" w:hAnsi="Times New Roman"/>
          <w:rFonts w:ascii="Times New Roman" w:hAnsi="Times New Roman"/>
          <w:b w:val="0"/>
          <w:i w:val="0"/>
          <w:sz w:val="24"/>
        </w:rPr>
        <w:t xml:space="preserve">Goghari, V. M., &amp; Lawlor-Savage, L. (2018). Self-perceived benefits of cognitive training in healthy older adults. </w:t>
      </w:r>
      <w:r>
        <w:rPr>
          <w:rFonts w:ascii="Times New Roman" w:hAnsi="Times New Roman"/>
          <w:rFonts w:ascii="Times New Roman" w:hAnsi="Times New Roman"/>
          <w:b w:val="0"/>
          <w:i/>
          <w:sz w:val="24"/>
        </w:rPr>
        <w:t>Frontiers in Aging Neuroscience, 10</w:t>
      </w:r>
      <w:r>
        <w:rPr>
          <w:rFonts w:ascii="Times New Roman" w:hAnsi="Times New Roman"/>
          <w:rFonts w:ascii="Times New Roman" w:hAnsi="Times New Roman"/>
          <w:b w:val="0"/>
          <w:i w:val="0"/>
          <w:sz w:val="24"/>
        </w:rPr>
        <w:t>, 112. https://doi.org/10.3389/fnagi.2018.00112</w:t>
      </w:r>
    </w:p>
    <w:p>
      <w:pPr>
        <w:spacing w:after="120"/>
        <w:ind w:left="720" w:hanging="720"/>
        <w:spacing w:line="240" w:lineRule="auto"/>
      </w:pPr>
      <w:r>
        <w:rPr>
          <w:rFonts w:ascii="Times New Roman" w:hAnsi="Times New Roman"/>
          <w:rFonts w:ascii="Times New Roman" w:hAnsi="Times New Roman"/>
          <w:b w:val="0"/>
          <w:i w:val="0"/>
          <w:sz w:val="24"/>
        </w:rPr>
        <w:t xml:space="preserve">Goghari, V. M., &amp; Lawlor-Savage, L. (2017). Comparison of cognitive change after working memory training and logic and planning training in healthy older adults. </w:t>
      </w:r>
      <w:r>
        <w:rPr>
          <w:rFonts w:ascii="Times New Roman" w:hAnsi="Times New Roman"/>
          <w:rFonts w:ascii="Times New Roman" w:hAnsi="Times New Roman"/>
          <w:b w:val="0"/>
          <w:i/>
          <w:sz w:val="24"/>
        </w:rPr>
        <w:t>Frontiers in Aging Neuroscience, 9</w:t>
      </w:r>
      <w:r>
        <w:rPr>
          <w:rFonts w:ascii="Times New Roman" w:hAnsi="Times New Roman"/>
          <w:rFonts w:ascii="Times New Roman" w:hAnsi="Times New Roman"/>
          <w:b w:val="0"/>
          <w:i w:val="0"/>
          <w:sz w:val="24"/>
        </w:rPr>
        <w:t>, 39. https://doi.org/10.3389/fnagi.2017.00039</w:t>
      </w:r>
    </w:p>
    <w:p>
      <w:pPr>
        <w:spacing w:after="120"/>
        <w:ind w:left="720" w:hanging="720"/>
        <w:spacing w:line="240" w:lineRule="auto"/>
      </w:pPr>
      <w:r>
        <w:rPr>
          <w:rFonts w:ascii="Times New Roman" w:hAnsi="Times New Roman"/>
          <w:rFonts w:ascii="Times New Roman" w:hAnsi="Times New Roman"/>
          <w:b w:val="0"/>
          <w:i w:val="0"/>
          <w:sz w:val="24"/>
        </w:rPr>
        <w:t xml:space="preserve">Günther, V. K., Schäfer, P., Holzner, B. J., &amp; Kemmler, G. W. (2003). Long-term improvements in cognitive performance through computer-assisted cognitive training: A pilot study in a residential home for older people. </w:t>
      </w:r>
      <w:r>
        <w:rPr>
          <w:rFonts w:ascii="Times New Roman" w:hAnsi="Times New Roman"/>
          <w:rFonts w:ascii="Times New Roman" w:hAnsi="Times New Roman"/>
          <w:b w:val="0"/>
          <w:i/>
          <w:sz w:val="24"/>
        </w:rPr>
        <w:t>Aging &amp; Mental Health, 7</w:t>
      </w:r>
      <w:r>
        <w:rPr>
          <w:rFonts w:ascii="Times New Roman" w:hAnsi="Times New Roman"/>
          <w:rFonts w:ascii="Times New Roman" w:hAnsi="Times New Roman"/>
          <w:b w:val="0"/>
          <w:i w:val="0"/>
          <w:sz w:val="24"/>
        </w:rPr>
        <w:t>(3), 200–206. https://doi.org/10.1080/1360786031000101175</w:t>
      </w:r>
    </w:p>
    <w:p>
      <w:pPr>
        <w:spacing w:after="120"/>
        <w:ind w:left="720" w:hanging="720"/>
        <w:spacing w:line="240" w:lineRule="auto"/>
      </w:pPr>
      <w:r>
        <w:rPr>
          <w:rFonts w:ascii="Times New Roman" w:hAnsi="Times New Roman"/>
          <w:rFonts w:ascii="Times New Roman" w:hAnsi="Times New Roman"/>
          <w:b w:val="0"/>
          <w:i w:val="0"/>
          <w:sz w:val="24"/>
        </w:rPr>
        <w:t xml:space="preserve">Guye, S., &amp; von Bastian, C. C. (2017). Working memory training in older adults: Bayesian evidence supporting the absence of transfer. </w:t>
      </w:r>
      <w:r>
        <w:rPr>
          <w:rFonts w:ascii="Times New Roman" w:hAnsi="Times New Roman"/>
          <w:rFonts w:ascii="Times New Roman" w:hAnsi="Times New Roman"/>
          <w:b w:val="0"/>
          <w:i/>
          <w:sz w:val="24"/>
        </w:rPr>
        <w:t>Psychology and Aging, 32</w:t>
      </w:r>
      <w:r>
        <w:rPr>
          <w:rFonts w:ascii="Times New Roman" w:hAnsi="Times New Roman"/>
          <w:rFonts w:ascii="Times New Roman" w:hAnsi="Times New Roman"/>
          <w:b w:val="0"/>
          <w:i w:val="0"/>
          <w:sz w:val="24"/>
        </w:rPr>
        <w:t>(8), 732–746. https://doi.org/10.1037/pag0000206</w:t>
      </w:r>
    </w:p>
    <w:p>
      <w:pPr>
        <w:spacing w:after="120"/>
        <w:ind w:left="720" w:hanging="720"/>
        <w:spacing w:line="240" w:lineRule="auto"/>
      </w:pPr>
      <w:r>
        <w:rPr>
          <w:rFonts w:ascii="Times New Roman" w:hAnsi="Times New Roman"/>
          <w:rFonts w:ascii="Times New Roman" w:hAnsi="Times New Roman"/>
          <w:b w:val="0"/>
          <w:i w:val="0"/>
          <w:sz w:val="24"/>
        </w:rPr>
        <w:t xml:space="preserve">Heinzel, S., Lorenz, R. C., Brockhaus, W.-R., Wüstenberg, T., Kathmann, N., Heinz, A., &amp; Rapp, M. A. (2014). Working memory load-dependent brain response predicts behavioral training gains in older adults. </w:t>
      </w:r>
      <w:r>
        <w:rPr>
          <w:rFonts w:ascii="Times New Roman" w:hAnsi="Times New Roman"/>
          <w:rFonts w:ascii="Times New Roman" w:hAnsi="Times New Roman"/>
          <w:b w:val="0"/>
          <w:i/>
          <w:sz w:val="24"/>
        </w:rPr>
        <w:t>Journal of Neuroscience, 34</w:t>
      </w:r>
      <w:r>
        <w:rPr>
          <w:rFonts w:ascii="Times New Roman" w:hAnsi="Times New Roman"/>
          <w:rFonts w:ascii="Times New Roman" w:hAnsi="Times New Roman"/>
          <w:b w:val="0"/>
          <w:i w:val="0"/>
          <w:sz w:val="24"/>
        </w:rPr>
        <w:t>(4), 1464–1476. https://doi.org/10.1523/JNEUROSCI.2463-13.2014</w:t>
      </w:r>
    </w:p>
    <w:p>
      <w:pPr>
        <w:spacing w:after="120"/>
        <w:ind w:left="720" w:hanging="720"/>
        <w:spacing w:line="240" w:lineRule="auto"/>
      </w:pPr>
      <w:r>
        <w:rPr>
          <w:rFonts w:ascii="Times New Roman" w:hAnsi="Times New Roman"/>
          <w:rFonts w:ascii="Times New Roman" w:hAnsi="Times New Roman"/>
          <w:b w:val="0"/>
          <w:i w:val="0"/>
          <w:sz w:val="24"/>
        </w:rPr>
        <w:t xml:space="preserve">Heinzel, S., Lorenz, R. C., Pelz, P., Heinz, A., Walter, H., Kathmann, N., Rapp, M. A., &amp; Stelzel, C. (2017). Transfer effects to a multimodal dual-task after working memory training and associated neural correlates in older adults. </w:t>
      </w:r>
      <w:r>
        <w:rPr>
          <w:rFonts w:ascii="Times New Roman" w:hAnsi="Times New Roman"/>
          <w:rFonts w:ascii="Times New Roman" w:hAnsi="Times New Roman"/>
          <w:b w:val="0"/>
          <w:i/>
          <w:sz w:val="24"/>
        </w:rPr>
        <w:t>Frontiers in Human Neuroscience, 11</w:t>
      </w:r>
      <w:r>
        <w:rPr>
          <w:rFonts w:ascii="Times New Roman" w:hAnsi="Times New Roman"/>
          <w:rFonts w:ascii="Times New Roman" w:hAnsi="Times New Roman"/>
          <w:b w:val="0"/>
          <w:i w:val="0"/>
          <w:sz w:val="24"/>
        </w:rPr>
        <w:t>, 85. https://doi.org/10.3389/fnhum.2017.00085</w:t>
      </w:r>
    </w:p>
    <w:p>
      <w:pPr>
        <w:spacing w:after="120"/>
        <w:ind w:left="720" w:hanging="720"/>
        <w:spacing w:line="240" w:lineRule="auto"/>
      </w:pPr>
      <w:r>
        <w:rPr>
          <w:rFonts w:ascii="Times New Roman" w:hAnsi="Times New Roman"/>
          <w:rFonts w:ascii="Times New Roman" w:hAnsi="Times New Roman"/>
          <w:b w:val="0"/>
          <w:i w:val="0"/>
          <w:sz w:val="24"/>
        </w:rPr>
        <w:t xml:space="preserve">Heo, S., Kim, S.-G., &amp; Ko, M.-H. (2014). Long-term effects of transcranial direct current stimulation combined with computer-assisted cognitive training in healthy older adults. </w:t>
      </w:r>
      <w:r>
        <w:rPr>
          <w:rFonts w:ascii="Times New Roman" w:hAnsi="Times New Roman"/>
          <w:rFonts w:ascii="Times New Roman" w:hAnsi="Times New Roman"/>
          <w:b w:val="0"/>
          <w:i/>
          <w:sz w:val="24"/>
        </w:rPr>
        <w:t>Neurorehabilitation and Neural Repair, 28</w:t>
      </w:r>
      <w:r>
        <w:rPr>
          <w:rFonts w:ascii="Times New Roman" w:hAnsi="Times New Roman"/>
          <w:rFonts w:ascii="Times New Roman" w:hAnsi="Times New Roman"/>
          <w:b w:val="0"/>
          <w:i w:val="0"/>
          <w:sz w:val="24"/>
        </w:rPr>
        <w:t>(9), 879–887. https://doi.org/10.1177/1545968314530454</w:t>
      </w:r>
    </w:p>
    <w:p>
      <w:pPr>
        <w:spacing w:after="120"/>
        <w:ind w:left="720" w:hanging="720"/>
        <w:spacing w:line="240" w:lineRule="auto"/>
      </w:pPr>
      <w:r>
        <w:rPr>
          <w:rFonts w:ascii="Times New Roman" w:hAnsi="Times New Roman"/>
          <w:rFonts w:ascii="Times New Roman" w:hAnsi="Times New Roman"/>
          <w:b w:val="0"/>
          <w:i w:val="0"/>
          <w:sz w:val="24"/>
        </w:rPr>
        <w:t xml:space="preserve">Jaeggi, S. M., Buschkuehl, M., Jonides, J., Shah, P., Buschkuehl, M., Lau, H., &amp; Borella, E. (2020). Investigating the effects of spacing on working memory training outcome – a randomized controlled multi-site trial in older adults. </w:t>
      </w:r>
      <w:r>
        <w:rPr>
          <w:rFonts w:ascii="Times New Roman" w:hAnsi="Times New Roman"/>
          <w:rFonts w:ascii="Times New Roman" w:hAnsi="Times New Roman"/>
          <w:b w:val="0"/>
          <w:i/>
          <w:sz w:val="24"/>
        </w:rPr>
        <w:t>The Journals of Gerontology: Series B, 76</w:t>
      </w:r>
      <w:r>
        <w:rPr>
          <w:rFonts w:ascii="Times New Roman" w:hAnsi="Times New Roman"/>
          <w:rFonts w:ascii="Times New Roman" w:hAnsi="Times New Roman"/>
          <w:b w:val="0"/>
          <w:i w:val="0"/>
          <w:sz w:val="24"/>
        </w:rPr>
        <w:t>(8), 1570–1579. https://doi.org/10.1093/geronb/gbaa044</w:t>
      </w:r>
    </w:p>
    <w:p>
      <w:pPr>
        <w:spacing w:after="120"/>
        <w:ind w:left="720" w:hanging="720"/>
        <w:spacing w:line="240" w:lineRule="auto"/>
      </w:pPr>
      <w:r>
        <w:rPr>
          <w:rFonts w:ascii="Times New Roman" w:hAnsi="Times New Roman"/>
          <w:rFonts w:ascii="Times New Roman" w:hAnsi="Times New Roman"/>
          <w:b w:val="0"/>
          <w:i w:val="0"/>
          <w:sz w:val="24"/>
        </w:rPr>
        <w:t xml:space="preserve">Jaeggi, S. M., Weaver, A. N., Carbone, E., Trane, F. E., Smith-Peirce, R. N., Buschkuehl, M., Flueckiger, C., Carlson, M., Jonides, J., &amp; Borella, E. (2023). EngAge – A metacognitive intervention to supplement working memory training: A feasibility study in older adults. </w:t>
      </w:r>
      <w:r>
        <w:rPr>
          <w:rFonts w:ascii="Times New Roman" w:hAnsi="Times New Roman"/>
          <w:rFonts w:ascii="Times New Roman" w:hAnsi="Times New Roman"/>
          <w:b w:val="0"/>
          <w:i/>
          <w:sz w:val="24"/>
        </w:rPr>
        <w:t>Aging, Neuropsychology, and Cognition, 30</w:t>
      </w:r>
      <w:r>
        <w:rPr>
          <w:rFonts w:ascii="Times New Roman" w:hAnsi="Times New Roman"/>
          <w:rFonts w:ascii="Times New Roman" w:hAnsi="Times New Roman"/>
          <w:b w:val="0"/>
          <w:i w:val="0"/>
          <w:sz w:val="24"/>
        </w:rPr>
        <w:t>(6), 1080–1103. https://doi.org/10.1080/13825585.2022.2107870</w:t>
      </w:r>
    </w:p>
    <w:p>
      <w:pPr>
        <w:spacing w:after="120"/>
        <w:ind w:left="720" w:hanging="720"/>
        <w:spacing w:line="240" w:lineRule="auto"/>
      </w:pPr>
      <w:r>
        <w:rPr>
          <w:rFonts w:ascii="Times New Roman" w:hAnsi="Times New Roman"/>
          <w:rFonts w:ascii="Times New Roman" w:hAnsi="Times New Roman"/>
          <w:b w:val="0"/>
          <w:i w:val="0"/>
          <w:sz w:val="24"/>
        </w:rPr>
        <w:t xml:space="preserve">Lange, S., Süß, H.-M., Kliegl, R., &amp; Sander, N. (2015). Experimental evaluation of near- and far-transfer effects of an adaptive multicomponent working memory training. </w:t>
      </w:r>
      <w:r>
        <w:rPr>
          <w:rFonts w:ascii="Times New Roman" w:hAnsi="Times New Roman"/>
          <w:rFonts w:ascii="Times New Roman" w:hAnsi="Times New Roman"/>
          <w:b w:val="0"/>
          <w:i/>
          <w:sz w:val="24"/>
        </w:rPr>
        <w:t>Memory &amp; Cognition, 43</w:t>
      </w:r>
      <w:r>
        <w:rPr>
          <w:rFonts w:ascii="Times New Roman" w:hAnsi="Times New Roman"/>
          <w:rFonts w:ascii="Times New Roman" w:hAnsi="Times New Roman"/>
          <w:b w:val="0"/>
          <w:i w:val="0"/>
          <w:sz w:val="24"/>
        </w:rPr>
        <w:t>(5), 758–774. https://doi.org/10.3758/s13421-015-0500-7</w:t>
      </w:r>
    </w:p>
    <w:p>
      <w:pPr>
        <w:spacing w:after="120"/>
        <w:ind w:left="720" w:hanging="720"/>
        <w:spacing w:line="240" w:lineRule="auto"/>
      </w:pPr>
      <w:r>
        <w:rPr>
          <w:rFonts w:ascii="Times New Roman" w:hAnsi="Times New Roman"/>
          <w:rFonts w:ascii="Times New Roman" w:hAnsi="Times New Roman"/>
          <w:b w:val="0"/>
          <w:i w:val="0"/>
          <w:sz w:val="24"/>
        </w:rPr>
        <w:t xml:space="preserve">Lommen, M. J. J., van Grunsven, R., van der Voort, A., &amp; Engelhard, I. M. (2020). The effect of cognitive training in older adults: Be aware of CRUNCH. </w:t>
      </w:r>
      <w:r>
        <w:rPr>
          <w:rFonts w:ascii="Times New Roman" w:hAnsi="Times New Roman"/>
          <w:rFonts w:ascii="Times New Roman" w:hAnsi="Times New Roman"/>
          <w:b w:val="0"/>
          <w:i/>
          <w:sz w:val="24"/>
        </w:rPr>
        <w:t>Aging, Neuropsychology, and Cognition, 27</w:t>
      </w:r>
      <w:r>
        <w:rPr>
          <w:rFonts w:ascii="Times New Roman" w:hAnsi="Times New Roman"/>
          <w:rFonts w:ascii="Times New Roman" w:hAnsi="Times New Roman"/>
          <w:b w:val="0"/>
          <w:i w:val="0"/>
          <w:sz w:val="24"/>
        </w:rPr>
        <w:t>(6), 809–823. https://doi.org/10.1080/13825585.2019.1688830</w:t>
      </w:r>
    </w:p>
    <w:p>
      <w:pPr>
        <w:spacing w:after="120"/>
        <w:ind w:left="720" w:hanging="720"/>
        <w:spacing w:line="240" w:lineRule="auto"/>
      </w:pPr>
      <w:r>
        <w:rPr>
          <w:rFonts w:ascii="Times New Roman" w:hAnsi="Times New Roman"/>
          <w:rFonts w:ascii="Times New Roman" w:hAnsi="Times New Roman"/>
          <w:b w:val="0"/>
          <w:i w:val="0"/>
          <w:sz w:val="24"/>
        </w:rPr>
        <w:t xml:space="preserve">Matysiak, O., Zarzycka, W., Bramorska, A., &amp; Brzezicka, A. (2020). Working memory training for older participants: A control group training regimen and initial intellectual functioning assessment. </w:t>
      </w:r>
      <w:r>
        <w:rPr>
          <w:rFonts w:ascii="Times New Roman" w:hAnsi="Times New Roman"/>
          <w:rFonts w:ascii="Times New Roman" w:hAnsi="Times New Roman"/>
          <w:b w:val="0"/>
          <w:i/>
          <w:sz w:val="24"/>
        </w:rPr>
        <w:t>Journal of Visualized Experiments, 163</w:t>
      </w:r>
      <w:r>
        <w:rPr>
          <w:rFonts w:ascii="Times New Roman" w:hAnsi="Times New Roman"/>
          <w:rFonts w:ascii="Times New Roman" w:hAnsi="Times New Roman"/>
          <w:b w:val="0"/>
          <w:i w:val="0"/>
          <w:sz w:val="24"/>
        </w:rPr>
        <w:t>, e60804. https://doi.org/10.3791/60804</w:t>
      </w:r>
    </w:p>
    <w:p>
      <w:pPr>
        <w:spacing w:after="120"/>
        <w:ind w:left="720" w:hanging="720"/>
        <w:spacing w:line="240" w:lineRule="auto"/>
      </w:pPr>
      <w:r>
        <w:rPr>
          <w:rFonts w:ascii="Times New Roman" w:hAnsi="Times New Roman"/>
          <w:rFonts w:ascii="Times New Roman" w:hAnsi="Times New Roman"/>
          <w:b w:val="0"/>
          <w:i w:val="0"/>
          <w:sz w:val="24"/>
        </w:rPr>
        <w:t xml:space="preserve">Matysiak, O., Bałaj, B., Szewczyk, M., Suwała, K., &amp; Brzezicka, A. (2019). Working memory capacity as a predictor of cognitive training efficacy in the elderly population. </w:t>
      </w:r>
      <w:r>
        <w:rPr>
          <w:rFonts w:ascii="Times New Roman" w:hAnsi="Times New Roman"/>
          <w:rFonts w:ascii="Times New Roman" w:hAnsi="Times New Roman"/>
          <w:b w:val="0"/>
          <w:i/>
          <w:sz w:val="24"/>
        </w:rPr>
        <w:t>Frontiers in Aging Neuroscience, 11</w:t>
      </w:r>
      <w:r>
        <w:rPr>
          <w:rFonts w:ascii="Times New Roman" w:hAnsi="Times New Roman"/>
          <w:rFonts w:ascii="Times New Roman" w:hAnsi="Times New Roman"/>
          <w:b w:val="0"/>
          <w:i w:val="0"/>
          <w:sz w:val="24"/>
        </w:rPr>
        <w:t>, 126. https://doi.org/10.3389/fnagi.2019.00126</w:t>
      </w:r>
    </w:p>
    <w:p>
      <w:pPr>
        <w:spacing w:after="120"/>
        <w:ind w:left="720" w:hanging="720"/>
        <w:spacing w:line="240" w:lineRule="auto"/>
      </w:pPr>
      <w:r>
        <w:rPr>
          <w:rFonts w:ascii="Times New Roman" w:hAnsi="Times New Roman"/>
          <w:rFonts w:ascii="Times New Roman" w:hAnsi="Times New Roman"/>
          <w:b w:val="0"/>
          <w:i w:val="0"/>
          <w:sz w:val="24"/>
        </w:rPr>
        <w:t xml:space="preserve">McAvinue, L. P., Golemme, M., Castorina, M., Tatti, E., Pigni, F. M., Salomone, S., Brennan, S., &amp; Robertson, I. H. (2013). An evaluation of a working memory training scheme in older adults. </w:t>
      </w:r>
      <w:r>
        <w:rPr>
          <w:rFonts w:ascii="Times New Roman" w:hAnsi="Times New Roman"/>
          <w:rFonts w:ascii="Times New Roman" w:hAnsi="Times New Roman"/>
          <w:b w:val="0"/>
          <w:i/>
          <w:sz w:val="24"/>
        </w:rPr>
        <w:t>Frontiers in Aging Neuroscience, 5</w:t>
      </w:r>
      <w:r>
        <w:rPr>
          <w:rFonts w:ascii="Times New Roman" w:hAnsi="Times New Roman"/>
          <w:rFonts w:ascii="Times New Roman" w:hAnsi="Times New Roman"/>
          <w:b w:val="0"/>
          <w:i w:val="0"/>
          <w:sz w:val="24"/>
        </w:rPr>
        <w:t>, 20. https://doi.org/10.3389/fnagi.2013.00020</w:t>
      </w:r>
    </w:p>
    <w:p>
      <w:pPr>
        <w:spacing w:after="120"/>
        <w:ind w:left="720" w:hanging="720"/>
        <w:spacing w:line="240" w:lineRule="auto"/>
      </w:pPr>
      <w:r>
        <w:rPr>
          <w:rFonts w:ascii="Times New Roman" w:hAnsi="Times New Roman"/>
          <w:rFonts w:ascii="Times New Roman" w:hAnsi="Times New Roman"/>
          <w:b w:val="0"/>
          <w:i w:val="0"/>
          <w:sz w:val="24"/>
        </w:rPr>
        <w:t xml:space="preserve">Mičič, S., Horvat, M., &amp; Bakracevic, K. (2020). The impact of working memory training on cognitive abilities in older adults: The role of cognitive reserve. </w:t>
      </w:r>
      <w:r>
        <w:rPr>
          <w:rFonts w:ascii="Times New Roman" w:hAnsi="Times New Roman"/>
          <w:rFonts w:ascii="Times New Roman" w:hAnsi="Times New Roman"/>
          <w:b w:val="0"/>
          <w:i/>
          <w:sz w:val="24"/>
        </w:rPr>
        <w:t>Current Aging Science, 13</w:t>
      </w:r>
      <w:r>
        <w:rPr>
          <w:rFonts w:ascii="Times New Roman" w:hAnsi="Times New Roman"/>
          <w:rFonts w:ascii="Times New Roman" w:hAnsi="Times New Roman"/>
          <w:b w:val="0"/>
          <w:i w:val="0"/>
          <w:sz w:val="24"/>
        </w:rPr>
        <w:t>(3), 230–241. https://doi.org/10.2174/1874609813666200515104028</w:t>
      </w:r>
    </w:p>
    <w:p>
      <w:pPr>
        <w:spacing w:after="120"/>
        <w:ind w:left="720" w:hanging="720"/>
        <w:spacing w:line="240" w:lineRule="auto"/>
      </w:pPr>
      <w:r>
        <w:rPr>
          <w:rFonts w:ascii="Times New Roman" w:hAnsi="Times New Roman"/>
          <w:rFonts w:ascii="Times New Roman" w:hAnsi="Times New Roman"/>
          <w:b w:val="0"/>
          <w:i w:val="0"/>
          <w:sz w:val="24"/>
        </w:rPr>
        <w:t xml:space="preserve">Nguyen, L., Murphy, K., &amp; Andrews, G. (2026). A comparison of single-domain and multidomain executive functions cognitive training for enhancing cognition and well-being in older adults. </w:t>
      </w:r>
      <w:r>
        <w:rPr>
          <w:rFonts w:ascii="Times New Roman" w:hAnsi="Times New Roman"/>
          <w:rFonts w:ascii="Times New Roman" w:hAnsi="Times New Roman"/>
          <w:b w:val="0"/>
          <w:i/>
          <w:sz w:val="24"/>
        </w:rPr>
        <w:t>Psychological Research, 90</w:t>
      </w:r>
      <w:r>
        <w:rPr>
          <w:rFonts w:ascii="Times New Roman" w:hAnsi="Times New Roman"/>
          <w:rFonts w:ascii="Times New Roman" w:hAnsi="Times New Roman"/>
          <w:b w:val="0"/>
          <w:i w:val="0"/>
          <w:sz w:val="24"/>
        </w:rPr>
        <w:t>, 52. https://doi.org/10.1007/s00426-026-02249-x</w:t>
      </w:r>
    </w:p>
    <w:p>
      <w:pPr>
        <w:spacing w:after="120"/>
        <w:ind w:left="720" w:hanging="720"/>
        <w:spacing w:line="240" w:lineRule="auto"/>
      </w:pPr>
      <w:r>
        <w:rPr>
          <w:rFonts w:ascii="Times New Roman" w:hAnsi="Times New Roman"/>
          <w:rFonts w:ascii="Times New Roman" w:hAnsi="Times New Roman"/>
          <w:b w:val="0"/>
          <w:i w:val="0"/>
          <w:sz w:val="24"/>
        </w:rPr>
        <w:t xml:space="preserve">Pergher, V., Vanbilsen, N., Tournoy, J., Schoenmakers, B., &amp; Van Hulle, M. M. (2020). Impact of strategy use during N-back training in older adults. </w:t>
      </w:r>
      <w:r>
        <w:rPr>
          <w:rFonts w:ascii="Times New Roman" w:hAnsi="Times New Roman"/>
          <w:rFonts w:ascii="Times New Roman" w:hAnsi="Times New Roman"/>
          <w:b w:val="0"/>
          <w:i/>
          <w:sz w:val="24"/>
        </w:rPr>
        <w:t>Journal of Cognitive Psychology, 32</w:t>
      </w:r>
      <w:r>
        <w:rPr>
          <w:rFonts w:ascii="Times New Roman" w:hAnsi="Times New Roman"/>
          <w:rFonts w:ascii="Times New Roman" w:hAnsi="Times New Roman"/>
          <w:b w:val="0"/>
          <w:i w:val="0"/>
          <w:sz w:val="24"/>
        </w:rPr>
        <w:t>(7), 659–673. https://doi.org/10.1080/20445911.2020.1808617</w:t>
      </w:r>
    </w:p>
    <w:p>
      <w:pPr>
        <w:spacing w:after="120"/>
        <w:ind w:left="720" w:hanging="720"/>
        <w:spacing w:line="240" w:lineRule="auto"/>
      </w:pPr>
      <w:r>
        <w:rPr>
          <w:rFonts w:ascii="Times New Roman" w:hAnsi="Times New Roman"/>
          <w:rFonts w:ascii="Times New Roman" w:hAnsi="Times New Roman"/>
          <w:b w:val="0"/>
          <w:i w:val="0"/>
          <w:sz w:val="24"/>
        </w:rPr>
        <w:t xml:space="preserve">Salminen, T., Strobach, T., &amp; Schubert, T. (2016). Age-specific differences of dual n-back training. </w:t>
      </w:r>
      <w:r>
        <w:rPr>
          <w:rFonts w:ascii="Times New Roman" w:hAnsi="Times New Roman"/>
          <w:rFonts w:ascii="Times New Roman" w:hAnsi="Times New Roman"/>
          <w:b w:val="0"/>
          <w:i/>
          <w:sz w:val="24"/>
        </w:rPr>
        <w:t>Aging, Neuropsychology, and Cognition, 23</w:t>
      </w:r>
      <w:r>
        <w:rPr>
          <w:rFonts w:ascii="Times New Roman" w:hAnsi="Times New Roman"/>
          <w:rFonts w:ascii="Times New Roman" w:hAnsi="Times New Roman"/>
          <w:b w:val="0"/>
          <w:i w:val="0"/>
          <w:sz w:val="24"/>
        </w:rPr>
        <w:t>(5), 527–551. https://doi.org/10.1080/13825585.2015.1136242</w:t>
      </w:r>
    </w:p>
    <w:p>
      <w:pPr>
        <w:spacing w:after="120"/>
        <w:ind w:left="720" w:hanging="720"/>
        <w:spacing w:line="240" w:lineRule="auto"/>
      </w:pPr>
      <w:r>
        <w:rPr>
          <w:rFonts w:ascii="Times New Roman" w:hAnsi="Times New Roman"/>
          <w:rFonts w:ascii="Times New Roman" w:hAnsi="Times New Roman"/>
          <w:b w:val="0"/>
          <w:i w:val="0"/>
          <w:sz w:val="24"/>
        </w:rPr>
        <w:t xml:space="preserve">Shatil, E., Mikulecká, J., Bellotti, F., &amp; Bureš, V. (2014). Novel television-based cognitive training improves working memory and executive function. </w:t>
      </w:r>
      <w:r>
        <w:rPr>
          <w:rFonts w:ascii="Times New Roman" w:hAnsi="Times New Roman"/>
          <w:rFonts w:ascii="Times New Roman" w:hAnsi="Times New Roman"/>
          <w:b w:val="0"/>
          <w:i/>
          <w:sz w:val="24"/>
        </w:rPr>
        <w:t>PLOS ONE, 9</w:t>
      </w:r>
      <w:r>
        <w:rPr>
          <w:rFonts w:ascii="Times New Roman" w:hAnsi="Times New Roman"/>
          <w:rFonts w:ascii="Times New Roman" w:hAnsi="Times New Roman"/>
          <w:b w:val="0"/>
          <w:i w:val="0"/>
          <w:sz w:val="24"/>
        </w:rPr>
        <w:t>(7), e101472. https://doi.org/10.1371/journal.pone.0101472</w:t>
      </w:r>
    </w:p>
    <w:p>
      <w:pPr>
        <w:spacing w:after="120"/>
        <w:ind w:left="720" w:hanging="720"/>
        <w:spacing w:line="240" w:lineRule="auto"/>
      </w:pPr>
      <w:r>
        <w:rPr>
          <w:rFonts w:ascii="Times New Roman" w:hAnsi="Times New Roman"/>
          <w:rFonts w:ascii="Times New Roman" w:hAnsi="Times New Roman"/>
          <w:b w:val="0"/>
          <w:i w:val="0"/>
          <w:sz w:val="24"/>
        </w:rPr>
        <w:t xml:space="preserve">Šimko, P., Pupíková, M., Gajdoš, M., &amp; Rektorová, I. (2021). Cognitive aftereffects of acute tDCS coupled with cognitive training: An fMRI study in healthy seniors. </w:t>
      </w:r>
      <w:r>
        <w:rPr>
          <w:rFonts w:ascii="Times New Roman" w:hAnsi="Times New Roman"/>
          <w:rFonts w:ascii="Times New Roman" w:hAnsi="Times New Roman"/>
          <w:b w:val="0"/>
          <w:i/>
          <w:sz w:val="24"/>
        </w:rPr>
        <w:t>Neural Plasticity, 2021</w:t>
      </w:r>
      <w:r>
        <w:rPr>
          <w:rFonts w:ascii="Times New Roman" w:hAnsi="Times New Roman"/>
          <w:rFonts w:ascii="Times New Roman" w:hAnsi="Times New Roman"/>
          <w:b w:val="0"/>
          <w:i w:val="0"/>
          <w:sz w:val="24"/>
        </w:rPr>
        <w:t>, 6685328. https://doi.org/10.1155/2021/6685328</w:t>
      </w:r>
    </w:p>
    <w:p>
      <w:pPr>
        <w:spacing w:after="120"/>
        <w:ind w:left="720" w:hanging="720"/>
        <w:spacing w:line="240" w:lineRule="auto"/>
      </w:pPr>
      <w:r>
        <w:rPr>
          <w:rFonts w:ascii="Times New Roman" w:hAnsi="Times New Roman"/>
          <w:rFonts w:ascii="Times New Roman" w:hAnsi="Times New Roman"/>
          <w:b w:val="0"/>
          <w:i w:val="0"/>
          <w:sz w:val="24"/>
        </w:rPr>
        <w:t xml:space="preserve">Spironelli, C., Bergamaschi, S., Mondini, S., Villani, D., &amp; Angrilli, A. (2021). Working memory training and cortical arousal in healthy older adults: A resting-state EEG pilot study. </w:t>
      </w:r>
      <w:r>
        <w:rPr>
          <w:rFonts w:ascii="Times New Roman" w:hAnsi="Times New Roman"/>
          <w:rFonts w:ascii="Times New Roman" w:hAnsi="Times New Roman"/>
          <w:b w:val="0"/>
          <w:i/>
          <w:sz w:val="24"/>
        </w:rPr>
        <w:t>Frontiers in Aging Neuroscience, 13</w:t>
      </w:r>
      <w:r>
        <w:rPr>
          <w:rFonts w:ascii="Times New Roman" w:hAnsi="Times New Roman"/>
          <w:rFonts w:ascii="Times New Roman" w:hAnsi="Times New Roman"/>
          <w:b w:val="0"/>
          <w:i w:val="0"/>
          <w:sz w:val="24"/>
        </w:rPr>
        <w:t>, 718965. https://doi.org/10.3389/fnagi.2021.718965</w:t>
      </w:r>
    </w:p>
    <w:p>
      <w:pPr>
        <w:spacing w:after="120"/>
        <w:ind w:left="720" w:hanging="720"/>
        <w:spacing w:line="240" w:lineRule="auto"/>
      </w:pPr>
      <w:r>
        <w:rPr>
          <w:rFonts w:ascii="Times New Roman" w:hAnsi="Times New Roman"/>
          <w:rFonts w:ascii="Times New Roman" w:hAnsi="Times New Roman"/>
          <w:b w:val="0"/>
          <w:i w:val="0"/>
          <w:sz w:val="24"/>
        </w:rPr>
        <w:t xml:space="preserve">Stephens, J. A., &amp; Berryhill, M. E. (2016). Older adults improve on everyday tasks after working memory training and neurostimulation. </w:t>
      </w:r>
      <w:r>
        <w:rPr>
          <w:rFonts w:ascii="Times New Roman" w:hAnsi="Times New Roman"/>
          <w:rFonts w:ascii="Times New Roman" w:hAnsi="Times New Roman"/>
          <w:b w:val="0"/>
          <w:i/>
          <w:sz w:val="24"/>
        </w:rPr>
        <w:t>Brain Stimulation, 9</w:t>
      </w:r>
      <w:r>
        <w:rPr>
          <w:rFonts w:ascii="Times New Roman" w:hAnsi="Times New Roman"/>
          <w:rFonts w:ascii="Times New Roman" w:hAnsi="Times New Roman"/>
          <w:b w:val="0"/>
          <w:i w:val="0"/>
          <w:sz w:val="24"/>
        </w:rPr>
        <w:t>(4), 553–559. https://doi.org/10.1016/j.brs.2016.04.001</w:t>
      </w:r>
    </w:p>
    <w:p>
      <w:pPr>
        <w:spacing w:after="120"/>
        <w:ind w:left="720" w:hanging="720"/>
        <w:spacing w:line="240" w:lineRule="auto"/>
      </w:pPr>
      <w:r>
        <w:rPr>
          <w:rFonts w:ascii="Times New Roman" w:hAnsi="Times New Roman"/>
          <w:rFonts w:ascii="Times New Roman" w:hAnsi="Times New Roman"/>
          <w:b w:val="0"/>
          <w:i w:val="0"/>
          <w:sz w:val="24"/>
        </w:rPr>
        <w:t xml:space="preserve">Stephens, J. A., Jones, K. T., &amp; Berryhill, M. E. (2017). Task demands, tDCS intensity, and the COMT val158met polymorphism impact tDCS-linked working memory training gains. </w:t>
      </w:r>
      <w:r>
        <w:rPr>
          <w:rFonts w:ascii="Times New Roman" w:hAnsi="Times New Roman"/>
          <w:rFonts w:ascii="Times New Roman" w:hAnsi="Times New Roman"/>
          <w:b w:val="0"/>
          <w:i/>
          <w:sz w:val="24"/>
        </w:rPr>
        <w:t>Scientific Reports, 7</w:t>
      </w:r>
      <w:r>
        <w:rPr>
          <w:rFonts w:ascii="Times New Roman" w:hAnsi="Times New Roman"/>
          <w:rFonts w:ascii="Times New Roman" w:hAnsi="Times New Roman"/>
          <w:b w:val="0"/>
          <w:i w:val="0"/>
          <w:sz w:val="24"/>
        </w:rPr>
        <w:t>, 13463. https://doi.org/10.1038/s41598-017-14030-7</w:t>
      </w:r>
    </w:p>
    <w:p>
      <w:pPr>
        <w:spacing w:after="120"/>
        <w:ind w:left="720" w:hanging="720"/>
        <w:spacing w:line="240" w:lineRule="auto"/>
      </w:pPr>
      <w:r>
        <w:rPr>
          <w:rFonts w:ascii="Times New Roman" w:hAnsi="Times New Roman"/>
          <w:rFonts w:ascii="Times New Roman" w:hAnsi="Times New Roman"/>
          <w:b w:val="0"/>
          <w:i w:val="0"/>
          <w:sz w:val="24"/>
        </w:rPr>
        <w:t xml:space="preserve">Sun, B., Chen, W., Deng, W., &amp; Wei, Y. (2018). The effects of cognitive training on cognitive abilities and everyday function: A 10-week randomized controlled trial. </w:t>
      </w:r>
      <w:r>
        <w:rPr>
          <w:rFonts w:ascii="Times New Roman" w:hAnsi="Times New Roman"/>
          <w:rFonts w:ascii="Times New Roman" w:hAnsi="Times New Roman"/>
          <w:b w:val="0"/>
          <w:i/>
          <w:sz w:val="24"/>
        </w:rPr>
        <w:t>Neuropsychological Rehabilitation, 30</w:t>
      </w:r>
      <w:r>
        <w:rPr>
          <w:rFonts w:ascii="Times New Roman" w:hAnsi="Times New Roman"/>
          <w:rFonts w:ascii="Times New Roman" w:hAnsi="Times New Roman"/>
          <w:b w:val="0"/>
          <w:i w:val="0"/>
          <w:sz w:val="24"/>
        </w:rPr>
        <w:t>(8), 1516–1528. https://doi.org/10.1080/09602011.2018.1555230</w:t>
      </w:r>
    </w:p>
    <w:p>
      <w:pPr>
        <w:spacing w:after="120"/>
        <w:ind w:left="720" w:hanging="720"/>
        <w:spacing w:line="240" w:lineRule="auto"/>
      </w:pPr>
      <w:r>
        <w:rPr>
          <w:rFonts w:ascii="Times New Roman" w:hAnsi="Times New Roman"/>
          <w:rFonts w:ascii="Times New Roman" w:hAnsi="Times New Roman"/>
          <w:b w:val="0"/>
          <w:i w:val="0"/>
          <w:sz w:val="24"/>
        </w:rPr>
        <w:t xml:space="preserve">Sutton, E., Sherwood, C., Miles, C., &amp; Jackson, A. (2025). Practice makes perfect, but to what end? Computerised brain training has limited effects on cognition and mood in healthy older adults. </w:t>
      </w:r>
      <w:r>
        <w:rPr>
          <w:rFonts w:ascii="Times New Roman" w:hAnsi="Times New Roman"/>
          <w:rFonts w:ascii="Times New Roman" w:hAnsi="Times New Roman"/>
          <w:b w:val="0"/>
          <w:i/>
          <w:sz w:val="24"/>
        </w:rPr>
        <w:t>Psychological Research, 89</w:t>
      </w:r>
      <w:r>
        <w:rPr>
          <w:rFonts w:ascii="Times New Roman" w:hAnsi="Times New Roman"/>
          <w:rFonts w:ascii="Times New Roman" w:hAnsi="Times New Roman"/>
          <w:b w:val="0"/>
          <w:i w:val="0"/>
          <w:sz w:val="24"/>
        </w:rPr>
        <w:t>, 75. https://doi.org/10.1007/s00426-025-02110-7</w:t>
      </w:r>
    </w:p>
    <w:p>
      <w:pPr>
        <w:spacing w:after="120"/>
        <w:ind w:left="720" w:hanging="720"/>
        <w:spacing w:line="240" w:lineRule="auto"/>
      </w:pPr>
      <w:r>
        <w:rPr>
          <w:rFonts w:ascii="Times New Roman" w:hAnsi="Times New Roman"/>
          <w:rFonts w:ascii="Times New Roman" w:hAnsi="Times New Roman"/>
          <w:b w:val="0"/>
          <w:i w:val="0"/>
          <w:sz w:val="24"/>
        </w:rPr>
        <w:t xml:space="preserve">Tagliabue, C. F., Varesio, G., &amp; Mazza, V. (2022). Training attentive individuation leads to visuo-spatial working memory improvement in low-performing older adults: An online study. </w:t>
      </w:r>
      <w:r>
        <w:rPr>
          <w:rFonts w:ascii="Times New Roman" w:hAnsi="Times New Roman"/>
          <w:rFonts w:ascii="Times New Roman" w:hAnsi="Times New Roman"/>
          <w:b w:val="0"/>
          <w:i/>
          <w:sz w:val="24"/>
        </w:rPr>
        <w:t>Attention, Perception, &amp; Psychophysics, 84</w:t>
      </w:r>
      <w:r>
        <w:rPr>
          <w:rFonts w:ascii="Times New Roman" w:hAnsi="Times New Roman"/>
          <w:rFonts w:ascii="Times New Roman" w:hAnsi="Times New Roman"/>
          <w:b w:val="0"/>
          <w:i w:val="0"/>
          <w:sz w:val="24"/>
        </w:rPr>
        <w:t>(8), 2541–2560. https://doi.org/10.3758/s13414-022-02581-7</w:t>
      </w:r>
    </w:p>
    <w:p>
      <w:pPr>
        <w:spacing w:after="120"/>
        <w:ind w:left="720" w:hanging="720"/>
        <w:spacing w:line="240" w:lineRule="auto"/>
      </w:pPr>
      <w:r>
        <w:rPr>
          <w:rFonts w:ascii="Times New Roman" w:hAnsi="Times New Roman"/>
          <w:rFonts w:ascii="Times New Roman" w:hAnsi="Times New Roman"/>
          <w:b w:val="0"/>
          <w:i w:val="0"/>
          <w:sz w:val="24"/>
        </w:rPr>
        <w:t xml:space="preserve">Tays, G. D., Strauss, E., &amp; Rhodes, S. (2015). Longitudinal neurostimulation in older adults improves working memory. </w:t>
      </w:r>
      <w:r>
        <w:rPr>
          <w:rFonts w:ascii="Times New Roman" w:hAnsi="Times New Roman"/>
          <w:rFonts w:ascii="Times New Roman" w:hAnsi="Times New Roman"/>
          <w:b w:val="0"/>
          <w:i/>
          <w:sz w:val="24"/>
        </w:rPr>
        <w:t>PLOS ONE, 10</w:t>
      </w:r>
      <w:r>
        <w:rPr>
          <w:rFonts w:ascii="Times New Roman" w:hAnsi="Times New Roman"/>
          <w:rFonts w:ascii="Times New Roman" w:hAnsi="Times New Roman"/>
          <w:b w:val="0"/>
          <w:i w:val="0"/>
          <w:sz w:val="24"/>
        </w:rPr>
        <w:t>(4), e0121904. https://doi.org/10.1371/journal.pone.0121904</w:t>
      </w:r>
    </w:p>
    <w:p>
      <w:pPr>
        <w:spacing w:after="120"/>
        <w:ind w:left="720" w:hanging="720"/>
        <w:spacing w:line="240" w:lineRule="auto"/>
      </w:pPr>
      <w:r>
        <w:rPr>
          <w:rFonts w:ascii="Times New Roman" w:hAnsi="Times New Roman"/>
          <w:rFonts w:ascii="Times New Roman" w:hAnsi="Times New Roman"/>
          <w:b w:val="0"/>
          <w:i w:val="0"/>
          <w:sz w:val="24"/>
        </w:rPr>
        <w:t xml:space="preserve">Teixeira-Santos, A. C., Aicher, C., Cruz, R., Figueiredo, P., Sampaio, A., Leite, J., &amp; Carvalho, S. (2022). Working memory training coupled with transcranial direct current stimulation in older adults: A randomized controlled experiment. </w:t>
      </w:r>
      <w:r>
        <w:rPr>
          <w:rFonts w:ascii="Times New Roman" w:hAnsi="Times New Roman"/>
          <w:rFonts w:ascii="Times New Roman" w:hAnsi="Times New Roman"/>
          <w:b w:val="0"/>
          <w:i/>
          <w:sz w:val="24"/>
        </w:rPr>
        <w:t>Frontiers in Aging Neuroscience, 14</w:t>
      </w:r>
      <w:r>
        <w:rPr>
          <w:rFonts w:ascii="Times New Roman" w:hAnsi="Times New Roman"/>
          <w:rFonts w:ascii="Times New Roman" w:hAnsi="Times New Roman"/>
          <w:b w:val="0"/>
          <w:i w:val="0"/>
          <w:sz w:val="24"/>
        </w:rPr>
        <w:t>, 827188. https://doi.org/10.3389/fnagi.2022.827188</w:t>
      </w:r>
    </w:p>
    <w:p>
      <w:pPr>
        <w:spacing w:after="120"/>
        <w:ind w:left="720" w:hanging="720"/>
        <w:spacing w:line="240" w:lineRule="auto"/>
      </w:pPr>
      <w:r>
        <w:rPr>
          <w:rFonts w:ascii="Times New Roman" w:hAnsi="Times New Roman"/>
          <w:rFonts w:ascii="Times New Roman" w:hAnsi="Times New Roman"/>
          <w:b w:val="0"/>
          <w:i w:val="0"/>
          <w:sz w:val="24"/>
        </w:rPr>
        <w:t xml:space="preserve">Tusch, E. S., Alperin, B. R., Ryan, E., Holcomb, P. J., Mohammed, A. H., &amp; Daffner, K. R. (2016). Changes in neural activity underlying working memory after computerized cognitive training in older adults. </w:t>
      </w:r>
      <w:r>
        <w:rPr>
          <w:rFonts w:ascii="Times New Roman" w:hAnsi="Times New Roman"/>
          <w:rFonts w:ascii="Times New Roman" w:hAnsi="Times New Roman"/>
          <w:b w:val="0"/>
          <w:i/>
          <w:sz w:val="24"/>
        </w:rPr>
        <w:t>Frontiers in Aging Neuroscience, 8</w:t>
      </w:r>
      <w:r>
        <w:rPr>
          <w:rFonts w:ascii="Times New Roman" w:hAnsi="Times New Roman"/>
          <w:rFonts w:ascii="Times New Roman" w:hAnsi="Times New Roman"/>
          <w:b w:val="0"/>
          <w:i w:val="0"/>
          <w:sz w:val="24"/>
        </w:rPr>
        <w:t>, 255. https://doi.org/10.3389/fnagi.2016.00255</w:t>
      </w:r>
    </w:p>
    <w:p>
      <w:pPr>
        <w:spacing w:after="120"/>
        <w:ind w:left="720" w:hanging="720"/>
        <w:spacing w:line="240" w:lineRule="auto"/>
      </w:pPr>
      <w:r>
        <w:rPr>
          <w:rFonts w:ascii="Times New Roman" w:hAnsi="Times New Roman"/>
          <w:rFonts w:ascii="Times New Roman" w:hAnsi="Times New Roman"/>
          <w:b w:val="0"/>
          <w:i w:val="0"/>
          <w:sz w:val="24"/>
        </w:rPr>
        <w:t xml:space="preserve">Verty, L. V., Mellah, S., Maltezos, S., Boujut, A., Lussier, M., Bherer, L., &amp; Belleville, S. (2024). Youth-like brain activation linked with greater cognitive training gains in older adults: Insights from the ACTOP study. </w:t>
      </w:r>
      <w:r>
        <w:rPr>
          <w:rFonts w:ascii="Times New Roman" w:hAnsi="Times New Roman"/>
          <w:rFonts w:ascii="Times New Roman" w:hAnsi="Times New Roman"/>
          <w:b w:val="0"/>
          <w:i/>
          <w:sz w:val="24"/>
        </w:rPr>
        <w:t>Neuropsychological Rehabilitation, 34</w:t>
      </w:r>
      <w:r>
        <w:rPr>
          <w:rFonts w:ascii="Times New Roman" w:hAnsi="Times New Roman"/>
          <w:rFonts w:ascii="Times New Roman" w:hAnsi="Times New Roman"/>
          <w:b w:val="0"/>
          <w:i w:val="0"/>
          <w:sz w:val="24"/>
        </w:rPr>
        <w:t>(5), 699–721. https://doi.org/10.1080/09602011.2023.2245028</w:t>
      </w:r>
    </w:p>
    <w:p>
      <w:pPr>
        <w:spacing w:after="120"/>
        <w:ind w:left="720" w:hanging="720"/>
        <w:spacing w:line="240" w:lineRule="auto"/>
      </w:pPr>
      <w:r>
        <w:rPr>
          <w:rFonts w:ascii="Times New Roman" w:hAnsi="Times New Roman"/>
          <w:rFonts w:ascii="Times New Roman" w:hAnsi="Times New Roman"/>
          <w:b w:val="0"/>
          <w:i w:val="0"/>
          <w:sz w:val="24"/>
        </w:rPr>
        <w:t xml:space="preserve">Vesterinen, H. M., Wittevrongel, B., Tournoy, J., &amp; Meesen, R. L. J. (2018). N-back training and transfer effects revealed by behavioral responses and EEG. </w:t>
      </w:r>
      <w:r>
        <w:rPr>
          <w:rFonts w:ascii="Times New Roman" w:hAnsi="Times New Roman"/>
          <w:rFonts w:ascii="Times New Roman" w:hAnsi="Times New Roman"/>
          <w:b w:val="0"/>
          <w:i/>
          <w:sz w:val="24"/>
        </w:rPr>
        <w:t>Brain and Behavior, 8</w:t>
      </w:r>
      <w:r>
        <w:rPr>
          <w:rFonts w:ascii="Times New Roman" w:hAnsi="Times New Roman"/>
          <w:rFonts w:ascii="Times New Roman" w:hAnsi="Times New Roman"/>
          <w:b w:val="0"/>
          <w:i w:val="0"/>
          <w:sz w:val="24"/>
        </w:rPr>
        <w:t>(12), e01136. https://doi.org/10.1002/brb3.1136</w:t>
      </w:r>
    </w:p>
    <w:p>
      <w:pPr>
        <w:spacing w:after="120"/>
        <w:ind w:left="720" w:hanging="720"/>
        <w:spacing w:line="240" w:lineRule="auto"/>
      </w:pPr>
      <w:r>
        <w:rPr>
          <w:rFonts w:ascii="Times New Roman" w:hAnsi="Times New Roman"/>
          <w:rFonts w:ascii="Times New Roman" w:hAnsi="Times New Roman"/>
          <w:b w:val="0"/>
          <w:i w:val="0"/>
          <w:sz w:val="24"/>
        </w:rPr>
        <w:t xml:space="preserve">Wang, P., Zhou, Z.-X., Gao, P., Hou, H.-Y., Zhang, J.-X., Li, H.-J., &amp; Zuo, X.-N. (2025). Gamified working memory intervention enhances prefrontal neurocognitive plasticity during aging. </w:t>
      </w:r>
      <w:r>
        <w:rPr>
          <w:rFonts w:ascii="Times New Roman" w:hAnsi="Times New Roman"/>
          <w:rFonts w:ascii="Times New Roman" w:hAnsi="Times New Roman"/>
          <w:b w:val="0"/>
          <w:i/>
          <w:sz w:val="24"/>
        </w:rPr>
        <w:t>Cerebral Cortex, 35</w:t>
      </w:r>
      <w:r>
        <w:rPr>
          <w:rFonts w:ascii="Times New Roman" w:hAnsi="Times New Roman"/>
          <w:rFonts w:ascii="Times New Roman" w:hAnsi="Times New Roman"/>
          <w:b w:val="0"/>
          <w:i w:val="0"/>
          <w:sz w:val="24"/>
        </w:rPr>
        <w:t>(1), bhae485. https://doi.org/10.1093/cercor/bhae485</w:t>
      </w:r>
    </w:p>
    <w:p>
      <w:pPr>
        <w:spacing w:after="120"/>
        <w:ind w:left="720" w:hanging="720"/>
        <w:spacing w:line="240" w:lineRule="auto"/>
      </w:pPr>
      <w:r>
        <w:rPr>
          <w:rFonts w:ascii="Times New Roman" w:hAnsi="Times New Roman"/>
          <w:rFonts w:ascii="Times New Roman" w:hAnsi="Times New Roman"/>
          <w:b w:val="0"/>
          <w:i w:val="0"/>
          <w:sz w:val="24"/>
        </w:rPr>
        <w:t xml:space="preserve">Wayne, R. V., &amp; Johnsrude, I. S. (2016). Working memory training and speech in noise comprehension in older adults. </w:t>
      </w:r>
      <w:r>
        <w:rPr>
          <w:rFonts w:ascii="Times New Roman" w:hAnsi="Times New Roman"/>
          <w:rFonts w:ascii="Times New Roman" w:hAnsi="Times New Roman"/>
          <w:b w:val="0"/>
          <w:i/>
          <w:sz w:val="24"/>
        </w:rPr>
        <w:t>Frontiers in Aging Neuroscience, 8</w:t>
      </w:r>
      <w:r>
        <w:rPr>
          <w:rFonts w:ascii="Times New Roman" w:hAnsi="Times New Roman"/>
          <w:rFonts w:ascii="Times New Roman" w:hAnsi="Times New Roman"/>
          <w:b w:val="0"/>
          <w:i w:val="0"/>
          <w:sz w:val="24"/>
        </w:rPr>
        <w:t>, 49. https://doi.org/10.3389/fnagi.2016.00049</w:t>
      </w:r>
    </w:p>
    <w:p>
      <w:pPr>
        <w:spacing w:after="120"/>
        <w:ind w:left="720" w:hanging="720"/>
        <w:spacing w:line="240" w:lineRule="auto"/>
      </w:pPr>
      <w:r>
        <w:rPr>
          <w:rFonts w:ascii="Times New Roman" w:hAnsi="Times New Roman"/>
          <w:rFonts w:ascii="Times New Roman" w:hAnsi="Times New Roman"/>
          <w:b w:val="0"/>
          <w:i w:val="0"/>
          <w:sz w:val="24"/>
        </w:rPr>
        <w:t xml:space="preserve">Zając-Lamparska, L., Radziwiłłowicz, W., Rajchert, J., Kępski, M., &amp; Tułecka, M. (2024). Limited training and transfer effects in older and young adults who participated in 12 sessions of process-based working memory training. </w:t>
      </w:r>
      <w:r>
        <w:rPr>
          <w:rFonts w:ascii="Times New Roman" w:hAnsi="Times New Roman"/>
          <w:rFonts w:ascii="Times New Roman" w:hAnsi="Times New Roman"/>
          <w:b w:val="0"/>
          <w:i/>
          <w:sz w:val="24"/>
        </w:rPr>
        <w:t>Frontiers in Psychology, 15</w:t>
      </w:r>
      <w:r>
        <w:rPr>
          <w:rFonts w:ascii="Times New Roman" w:hAnsi="Times New Roman"/>
          <w:rFonts w:ascii="Times New Roman" w:hAnsi="Times New Roman"/>
          <w:b w:val="0"/>
          <w:i w:val="0"/>
          <w:sz w:val="24"/>
        </w:rPr>
        <w:t>, 1286618. https://doi.org/10.3389/fpsyg.2024.1286618</w:t>
      </w:r>
    </w:p>
    <w:p>
      <w:pPr>
        <w:spacing w:after="120"/>
        <w:ind w:left="720" w:hanging="720"/>
        <w:spacing w:line="240" w:lineRule="auto"/>
      </w:pPr>
      <w:r>
        <w:rPr>
          <w:rFonts w:ascii="Times New Roman" w:hAnsi="Times New Roman"/>
          <w:rFonts w:ascii="Times New Roman" w:hAnsi="Times New Roman"/>
          <w:b w:val="0"/>
          <w:i w:val="0"/>
          <w:sz w:val="24"/>
        </w:rPr>
        <w:t xml:space="preserve">Zelinski, E. M., Peters, K. D., Hindin, S., Petway, K. T., &amp; Kennison, R. F. (2014). Evaluating the relationship between change in performance on training tasks and on untrained outcomes. </w:t>
      </w:r>
      <w:r>
        <w:rPr>
          <w:rFonts w:ascii="Times New Roman" w:hAnsi="Times New Roman"/>
          <w:rFonts w:ascii="Times New Roman" w:hAnsi="Times New Roman"/>
          <w:b w:val="0"/>
          <w:i/>
          <w:sz w:val="24"/>
        </w:rPr>
        <w:t>Frontiers in Human Neuroscience, 8</w:t>
      </w:r>
      <w:r>
        <w:rPr>
          <w:rFonts w:ascii="Times New Roman" w:hAnsi="Times New Roman"/>
          <w:rFonts w:ascii="Times New Roman" w:hAnsi="Times New Roman"/>
          <w:b w:val="0"/>
          <w:i w:val="0"/>
          <w:sz w:val="24"/>
        </w:rPr>
        <w:t>, 617. https://doi.org/10.3389/fnhum.2014.00617</w:t>
      </w:r>
    </w:p>
    <w:p>
      <w:pPr>
        <w:spacing w:after="120"/>
        <w:ind w:left="720" w:hanging="720"/>
        <w:spacing w:line="240" w:lineRule="auto"/>
      </w:pPr>
      <w:r>
        <w:rPr>
          <w:rFonts w:ascii="Times New Roman" w:hAnsi="Times New Roman"/>
          <w:rFonts w:ascii="Times New Roman" w:hAnsi="Times New Roman"/>
          <w:b w:val="0"/>
          <w:i w:val="0"/>
          <w:sz w:val="24"/>
        </w:rPr>
        <w:t xml:space="preserve">Zinke, K., Zeintl, M., Eschen, A., Herzog, C., &amp; Kliegel, M. (2012). Potentials and limits of plasticity induced by working memory training in old-old age. </w:t>
      </w:r>
      <w:r>
        <w:rPr>
          <w:rFonts w:ascii="Times New Roman" w:hAnsi="Times New Roman"/>
          <w:rFonts w:ascii="Times New Roman" w:hAnsi="Times New Roman"/>
          <w:b w:val="0"/>
          <w:i/>
          <w:sz w:val="24"/>
        </w:rPr>
        <w:t>Gerontology, 58</w:t>
      </w:r>
      <w:r>
        <w:rPr>
          <w:rFonts w:ascii="Times New Roman" w:hAnsi="Times New Roman"/>
          <w:rFonts w:ascii="Times New Roman" w:hAnsi="Times New Roman"/>
          <w:b w:val="0"/>
          <w:i w:val="0"/>
          <w:sz w:val="24"/>
        </w:rPr>
        <w:t>(2), 79–87. https://doi.org/10.1159/000324240</w:t>
      </w:r>
    </w:p>
    <w:p>
      <w:pPr>
        <w:spacing w:after="120"/>
        <w:ind w:left="720" w:hanging="720"/>
        <w:spacing w:line="240" w:lineRule="auto"/>
      </w:pPr>
      <w:r>
        <w:rPr>
          <w:rFonts w:ascii="Times New Roman" w:hAnsi="Times New Roman"/>
          <w:rFonts w:ascii="Times New Roman" w:hAnsi="Times New Roman"/>
          <w:b w:val="0"/>
          <w:i w:val="0"/>
          <w:sz w:val="24"/>
        </w:rPr>
        <w:t xml:space="preserve">Zinke, K., Zeintl, M., Rose, N. S., Putzmann, J., Pydde, A., &amp; Kliegel, M. (2014). Working memory training and transfer in older adults: Effects of age, baseline performance, and training gains. </w:t>
      </w:r>
      <w:r>
        <w:rPr>
          <w:rFonts w:ascii="Times New Roman" w:hAnsi="Times New Roman"/>
          <w:rFonts w:ascii="Times New Roman" w:hAnsi="Times New Roman"/>
          <w:b w:val="0"/>
          <w:i/>
          <w:sz w:val="24"/>
        </w:rPr>
        <w:t>Developmental Psychology, 50</w:t>
      </w:r>
      <w:r>
        <w:rPr>
          <w:rFonts w:ascii="Times New Roman" w:hAnsi="Times New Roman"/>
          <w:rFonts w:ascii="Times New Roman" w:hAnsi="Times New Roman"/>
          <w:b w:val="0"/>
          <w:i w:val="0"/>
          <w:sz w:val="24"/>
        </w:rPr>
        <w:t>(1), 304–315. https://doi.org/10.1037/a0032982</w:t>
      </w:r>
    </w:p>
    <w:p>
      <w:pPr>
        <w:spacing w:after="120"/>
        <w:ind w:left="720" w:hanging="720"/>
        <w:spacing w:line="240" w:lineRule="auto"/>
      </w:pPr>
      <w:r>
        <w:rPr>
          <w:rFonts w:ascii="Times New Roman" w:hAnsi="Times New Roman"/>
          <w:rFonts w:ascii="Times New Roman" w:hAnsi="Times New Roman"/>
          <w:b w:val="0"/>
          <w:i w:val="0"/>
          <w:sz w:val="24"/>
        </w:rPr>
        <w:t xml:space="preserve">Baddeley, A. (2000). The episodic buffer: A new component of working memory? </w:t>
      </w:r>
      <w:r>
        <w:rPr>
          <w:rFonts w:ascii="Times New Roman" w:hAnsi="Times New Roman"/>
          <w:rFonts w:ascii="Times New Roman" w:hAnsi="Times New Roman"/>
          <w:b w:val="0"/>
          <w:i/>
          <w:sz w:val="24"/>
        </w:rPr>
        <w:t>Trends in Cognitive Sciences, 4</w:t>
      </w:r>
      <w:r>
        <w:rPr>
          <w:rFonts w:ascii="Times New Roman" w:hAnsi="Times New Roman"/>
          <w:rFonts w:ascii="Times New Roman" w:hAnsi="Times New Roman"/>
          <w:b w:val="0"/>
          <w:i w:val="0"/>
          <w:sz w:val="24"/>
        </w:rPr>
        <w:t>(11), 417–423. https://doi.org/10.1016/S1364-6613(00)01538-2</w:t>
      </w:r>
    </w:p>
    <w:p>
      <w:pPr>
        <w:spacing w:after="120"/>
        <w:ind w:left="720" w:hanging="720"/>
        <w:spacing w:line="240" w:lineRule="auto"/>
      </w:pPr>
      <w:r>
        <w:rPr>
          <w:rFonts w:ascii="Times New Roman" w:hAnsi="Times New Roman"/>
          <w:rFonts w:ascii="Times New Roman" w:hAnsi="Times New Roman"/>
          <w:b w:val="0"/>
          <w:i w:val="0"/>
          <w:sz w:val="24"/>
        </w:rPr>
        <w:t xml:space="preserve">Barnett, S. M., &amp; Ceci, S. J. (2002). When and where do we apply what we learn? A taxonomy for far transfer. </w:t>
      </w:r>
      <w:r>
        <w:rPr>
          <w:rFonts w:ascii="Times New Roman" w:hAnsi="Times New Roman"/>
          <w:rFonts w:ascii="Times New Roman" w:hAnsi="Times New Roman"/>
          <w:b w:val="0"/>
          <w:i/>
          <w:sz w:val="24"/>
        </w:rPr>
        <w:t>Psychological Bulletin, 128</w:t>
      </w:r>
      <w:r>
        <w:rPr>
          <w:rFonts w:ascii="Times New Roman" w:hAnsi="Times New Roman"/>
          <w:rFonts w:ascii="Times New Roman" w:hAnsi="Times New Roman"/>
          <w:b w:val="0"/>
          <w:i w:val="0"/>
          <w:sz w:val="24"/>
        </w:rPr>
        <w:t>(4), 612–637. https://doi.org/10.1037/0033-2909.128.4.612</w:t>
      </w:r>
    </w:p>
    <w:p>
      <w:pPr>
        <w:spacing w:after="120"/>
        <w:ind w:left="720" w:hanging="720"/>
        <w:spacing w:line="240" w:lineRule="auto"/>
      </w:pPr>
      <w:r>
        <w:rPr>
          <w:rFonts w:ascii="Times New Roman" w:hAnsi="Times New Roman"/>
          <w:rFonts w:ascii="Times New Roman" w:hAnsi="Times New Roman"/>
          <w:b w:val="0"/>
          <w:i w:val="0"/>
          <w:sz w:val="24"/>
        </w:rPr>
        <w:t xml:space="preserve">Bier, N., Bottari, C., Hudon, C., Joubert, S., Paquette, G., &amp; Macoir, J. (2013). The contribution of semantic memory in the acquisition of new everyday life procedures: Evidence from an errorless learning program. </w:t>
      </w:r>
      <w:r>
        <w:rPr>
          <w:rFonts w:ascii="Times New Roman" w:hAnsi="Times New Roman"/>
          <w:rFonts w:ascii="Times New Roman" w:hAnsi="Times New Roman"/>
          <w:b w:val="0"/>
          <w:i/>
          <w:sz w:val="24"/>
        </w:rPr>
        <w:t>Neuropsychological Rehabilitation, 23</w:t>
      </w:r>
      <w:r>
        <w:rPr>
          <w:rFonts w:ascii="Times New Roman" w:hAnsi="Times New Roman"/>
          <w:rFonts w:ascii="Times New Roman" w:hAnsi="Times New Roman"/>
          <w:b w:val="0"/>
          <w:i w:val="0"/>
          <w:sz w:val="24"/>
        </w:rPr>
        <w:t>(3), 1–29.</w:t>
      </w:r>
    </w:p>
    <w:p>
      <w:pPr>
        <w:spacing w:after="120"/>
        <w:ind w:left="720" w:hanging="720"/>
        <w:spacing w:line="240" w:lineRule="auto"/>
      </w:pPr>
      <w:r>
        <w:rPr>
          <w:rFonts w:ascii="Times New Roman" w:hAnsi="Times New Roman"/>
          <w:rFonts w:ascii="Times New Roman" w:hAnsi="Times New Roman"/>
          <w:b w:val="0"/>
          <w:i w:val="0"/>
          <w:sz w:val="24"/>
        </w:rPr>
        <w:t xml:space="preserve">Borenstein, M., Hedges, L. V., Higgins, J. P. T., &amp; Rothstein, H. R. (2009). </w:t>
      </w:r>
      <w:r>
        <w:rPr>
          <w:rFonts w:ascii="Times New Roman" w:hAnsi="Times New Roman"/>
          <w:rFonts w:ascii="Times New Roman" w:hAnsi="Times New Roman"/>
          <w:b w:val="0"/>
          <w:i/>
          <w:sz w:val="24"/>
        </w:rPr>
        <w:t>Introduction to meta-analysis</w:t>
      </w:r>
      <w:r>
        <w:rPr>
          <w:rFonts w:ascii="Times New Roman" w:hAnsi="Times New Roman"/>
          <w:rFonts w:ascii="Times New Roman" w:hAnsi="Times New Roman"/>
          <w:b w:val="0"/>
          <w:i w:val="0"/>
          <w:sz w:val="24"/>
        </w:rPr>
        <w:t>. Wiley.</w:t>
      </w:r>
    </w:p>
    <w:p>
      <w:pPr>
        <w:spacing w:after="120"/>
        <w:ind w:left="720" w:hanging="720"/>
        <w:spacing w:line="240" w:lineRule="auto"/>
      </w:pPr>
      <w:r>
        <w:rPr>
          <w:rFonts w:ascii="Times New Roman" w:hAnsi="Times New Roman"/>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rFonts w:ascii="Times New Roman" w:hAnsi="Times New Roman"/>
          <w:b w:val="0"/>
          <w:i/>
          <w:sz w:val="24"/>
        </w:rPr>
        <w:t>BMJ, 368</w:t>
      </w:r>
      <w:r>
        <w:rPr>
          <w:rFonts w:ascii="Times New Roman" w:hAnsi="Times New Roman"/>
          <w:rFonts w:ascii="Times New Roman" w:hAnsi="Times New Roman"/>
          <w:b w:val="0"/>
          <w:i w:val="0"/>
          <w:sz w:val="24"/>
        </w:rPr>
        <w:t>, l6890. https://doi.org/10.1136/bmj.l6890</w:t>
      </w:r>
    </w:p>
    <w:p>
      <w:pPr>
        <w:spacing w:after="120"/>
        <w:ind w:left="720" w:hanging="720"/>
        <w:spacing w:line="240" w:lineRule="auto"/>
      </w:pPr>
      <w:r>
        <w:rPr>
          <w:rFonts w:ascii="Times New Roman" w:hAnsi="Times New Roman"/>
          <w:rFonts w:ascii="Times New Roman" w:hAnsi="Times New Roman"/>
          <w:b w:val="0"/>
          <w:i w:val="0"/>
          <w:sz w:val="24"/>
        </w:rPr>
        <w:t xml:space="preserve">Conway, A. R. A., Kane, M. J., Bunting, M. F., Hambrick, D. Z., Wilhelm, O., &amp; Engle, R. W. (2005). Working memory span tasks: A methodological review and user's guide. </w:t>
      </w:r>
      <w:r>
        <w:rPr>
          <w:rFonts w:ascii="Times New Roman" w:hAnsi="Times New Roman"/>
          <w:rFonts w:ascii="Times New Roman" w:hAnsi="Times New Roman"/>
          <w:b w:val="0"/>
          <w:i/>
          <w:sz w:val="24"/>
        </w:rPr>
        <w:t>Psychonomic Bulletin &amp; Review, 12</w:t>
      </w:r>
      <w:r>
        <w:rPr>
          <w:rFonts w:ascii="Times New Roman" w:hAnsi="Times New Roman"/>
          <w:rFonts w:ascii="Times New Roman" w:hAnsi="Times New Roman"/>
          <w:b w:val="0"/>
          <w:i w:val="0"/>
          <w:sz w:val="24"/>
        </w:rPr>
        <w:t>(5), 769–786. https://doi.org/10.3758/BF03196772</w:t>
      </w:r>
    </w:p>
    <w:p>
      <w:pPr>
        <w:spacing w:after="120"/>
        <w:ind w:left="720" w:hanging="720"/>
        <w:spacing w:line="240" w:lineRule="auto"/>
      </w:pPr>
      <w:r>
        <w:rPr>
          <w:rFonts w:ascii="Times New Roman" w:hAnsi="Times New Roman"/>
          <w:rFonts w:ascii="Times New Roman" w:hAnsi="Times New Roman"/>
          <w:b w:val="0"/>
          <w:i w:val="0"/>
          <w:sz w:val="24"/>
        </w:rPr>
        <w:t xml:space="preserve">Hoffmann, T. C., Glasziou, P. P., Boutron, I., Milne, R., Perera, R., Moher, D., Altman, D. G., Barbour, V., Macdonald, H., Johnston, M., Lamb, S. E., Dixon-Woods, M., McCulloch, P., Wyatt, J. C., Chan, A.-W., &amp; Michie, S. (2014). Better reporting of interventions: Template for Intervention Description and Replication (TIDieR) checklist and guide. </w:t>
      </w:r>
      <w:r>
        <w:rPr>
          <w:rFonts w:ascii="Times New Roman" w:hAnsi="Times New Roman"/>
          <w:rFonts w:ascii="Times New Roman" w:hAnsi="Times New Roman"/>
          <w:b w:val="0"/>
          <w:i/>
          <w:sz w:val="24"/>
        </w:rPr>
        <w:t>BMJ, 348</w:t>
      </w:r>
      <w:r>
        <w:rPr>
          <w:rFonts w:ascii="Times New Roman" w:hAnsi="Times New Roman"/>
          <w:rFonts w:ascii="Times New Roman" w:hAnsi="Times New Roman"/>
          <w:b w:val="0"/>
          <w:i w:val="0"/>
          <w:sz w:val="24"/>
        </w:rPr>
        <w:t>, g1687. https://doi.org/10.1136/bmj.g1687</w:t>
      </w:r>
    </w:p>
    <w:p>
      <w:pPr>
        <w:spacing w:after="120"/>
        <w:ind w:left="720" w:hanging="720"/>
        <w:spacing w:line="240" w:lineRule="auto"/>
      </w:pPr>
      <w:r>
        <w:rPr>
          <w:rFonts w:ascii="Times New Roman" w:hAnsi="Times New Roman"/>
          <w:rFonts w:ascii="Times New Roman" w:hAnsi="Times New Roman"/>
          <w:b w:val="0"/>
          <w:i w:val="0"/>
          <w:sz w:val="24"/>
        </w:rPr>
        <w:t xml:space="preserve">Jaeggi, S. M., Buschkuehl, M., Jonides, J., &amp; Perrig, W. J. (2008). Improving fluid intelligence with training on working memory. </w:t>
      </w:r>
      <w:r>
        <w:rPr>
          <w:rFonts w:ascii="Times New Roman" w:hAnsi="Times New Roman"/>
          <w:rFonts w:ascii="Times New Roman" w:hAnsi="Times New Roman"/>
          <w:b w:val="0"/>
          <w:i/>
          <w:sz w:val="24"/>
        </w:rPr>
        <w:t>Proceedings of the National Academy of Sciences, 105</w:t>
      </w:r>
      <w:r>
        <w:rPr>
          <w:rFonts w:ascii="Times New Roman" w:hAnsi="Times New Roman"/>
          <w:rFonts w:ascii="Times New Roman" w:hAnsi="Times New Roman"/>
          <w:b w:val="0"/>
          <w:i w:val="0"/>
          <w:sz w:val="24"/>
        </w:rPr>
        <w:t>(19), 6829–6833. https://doi.org/10.1073/pnas.0801268105</w:t>
      </w:r>
    </w:p>
    <w:p>
      <w:pPr>
        <w:spacing w:after="120"/>
        <w:ind w:left="720" w:hanging="720"/>
        <w:spacing w:line="240" w:lineRule="auto"/>
      </w:pPr>
      <w:r>
        <w:rPr>
          <w:rFonts w:ascii="Times New Roman" w:hAnsi="Times New Roman"/>
          <w:rFonts w:ascii="Times New Roman" w:hAnsi="Times New Roman"/>
          <w:b w:val="0"/>
          <w:i w:val="0"/>
          <w:sz w:val="24"/>
        </w:rPr>
        <w:t xml:space="preserve">Lampit, A., Hallock, H., &amp; Valenzuela, M. (2014). Computerized cognitive training in cognitively healthy older adults: A systematic review and meta-analysis of effect modifiers. </w:t>
      </w:r>
      <w:r>
        <w:rPr>
          <w:rFonts w:ascii="Times New Roman" w:hAnsi="Times New Roman"/>
          <w:rFonts w:ascii="Times New Roman" w:hAnsi="Times New Roman"/>
          <w:b w:val="0"/>
          <w:i/>
          <w:sz w:val="24"/>
        </w:rPr>
        <w:t>PLOS Medicine, 11</w:t>
      </w:r>
      <w:r>
        <w:rPr>
          <w:rFonts w:ascii="Times New Roman" w:hAnsi="Times New Roman"/>
          <w:rFonts w:ascii="Times New Roman" w:hAnsi="Times New Roman"/>
          <w:b w:val="0"/>
          <w:i w:val="0"/>
          <w:sz w:val="24"/>
        </w:rPr>
        <w:t>(11), e1001756. https://doi.org/10.1371/journal.pmed.1001756</w:t>
      </w:r>
    </w:p>
    <w:p>
      <w:pPr>
        <w:spacing w:after="120"/>
        <w:ind w:left="720" w:hanging="720"/>
        <w:spacing w:line="240" w:lineRule="auto"/>
      </w:pPr>
      <w:r>
        <w:rPr>
          <w:rFonts w:ascii="Times New Roman" w:hAnsi="Times New Roman"/>
          <w:rFonts w:ascii="Times New Roman" w:hAnsi="Times New Roman"/>
          <w:b w:val="0"/>
          <w:i w:val="0"/>
          <w:sz w:val="24"/>
        </w:rPr>
        <w:t xml:space="preserve">Lindenberger, U., Lövdén, M., Schellenbach, M., Li, S.-C., &amp; Krüger, A. (2008). Psychological principles of successful aging technologies: A mini-review. </w:t>
      </w:r>
      <w:r>
        <w:rPr>
          <w:rFonts w:ascii="Times New Roman" w:hAnsi="Times New Roman"/>
          <w:rFonts w:ascii="Times New Roman" w:hAnsi="Times New Roman"/>
          <w:b w:val="0"/>
          <w:i/>
          <w:sz w:val="24"/>
        </w:rPr>
        <w:t>Gerontology, 54</w:t>
      </w:r>
      <w:r>
        <w:rPr>
          <w:rFonts w:ascii="Times New Roman" w:hAnsi="Times New Roman"/>
          <w:rFonts w:ascii="Times New Roman" w:hAnsi="Times New Roman"/>
          <w:b w:val="0"/>
          <w:i w:val="0"/>
          <w:sz w:val="24"/>
        </w:rPr>
        <w:t>(1), 59–68. https://doi.org/10.1159/000116114</w:t>
      </w:r>
    </w:p>
    <w:p>
      <w:pPr>
        <w:spacing w:after="120"/>
        <w:ind w:left="720" w:hanging="720"/>
        <w:spacing w:line="240" w:lineRule="auto"/>
      </w:pPr>
      <w:r>
        <w:rPr>
          <w:rFonts w:ascii="Times New Roman" w:hAnsi="Times New Roman"/>
          <w:rFonts w:ascii="Times New Roman" w:hAnsi="Times New Roman"/>
          <w:b w:val="0"/>
          <w:i w:val="0"/>
          <w:sz w:val="24"/>
        </w:rPr>
        <w:t xml:space="preserve">Melby-Lervåg, M., &amp; Hulme, C. (2013). Is working memory training effective? A meta-analytic review. </w:t>
      </w:r>
      <w:r>
        <w:rPr>
          <w:rFonts w:ascii="Times New Roman" w:hAnsi="Times New Roman"/>
          <w:rFonts w:ascii="Times New Roman" w:hAnsi="Times New Roman"/>
          <w:b w:val="0"/>
          <w:i/>
          <w:sz w:val="24"/>
        </w:rPr>
        <w:t>Developmental Psychology, 49</w:t>
      </w:r>
      <w:r>
        <w:rPr>
          <w:rFonts w:ascii="Times New Roman" w:hAnsi="Times New Roman"/>
          <w:rFonts w:ascii="Times New Roman" w:hAnsi="Times New Roman"/>
          <w:b w:val="0"/>
          <w:i w:val="0"/>
          <w:sz w:val="24"/>
        </w:rPr>
        <w:t>(2), 270–291. https://doi.org/10.1037/a0028228</w:t>
      </w:r>
    </w:p>
    <w:p>
      <w:pPr>
        <w:spacing w:after="120"/>
        <w:ind w:left="720" w:hanging="720"/>
        <w:spacing w:line="240" w:lineRule="auto"/>
      </w:pPr>
      <w:r>
        <w:rPr>
          <w:rFonts w:ascii="Times New Roman" w:hAnsi="Times New Roman"/>
          <w:rFonts w:ascii="Times New Roman" w:hAnsi="Times New Roman"/>
          <w:b w:val="0"/>
          <w:i w:val="0"/>
          <w:sz w:val="24"/>
        </w:rPr>
        <w:t xml:space="preserve">Melby-Lervåg, M., Redick, T. S., &amp; Hulme, C. (2016). Working memory training does not improve performance on measures of intelligence or other measures of "far transfer": Evidence from a meta-analytic review. </w:t>
      </w:r>
      <w:r>
        <w:rPr>
          <w:rFonts w:ascii="Times New Roman" w:hAnsi="Times New Roman"/>
          <w:rFonts w:ascii="Times New Roman" w:hAnsi="Times New Roman"/>
          <w:b w:val="0"/>
          <w:i/>
          <w:sz w:val="24"/>
        </w:rPr>
        <w:t>Perspectives on Psychological Science, 11</w:t>
      </w:r>
      <w:r>
        <w:rPr>
          <w:rFonts w:ascii="Times New Roman" w:hAnsi="Times New Roman"/>
          <w:rFonts w:ascii="Times New Roman" w:hAnsi="Times New Roman"/>
          <w:b w:val="0"/>
          <w:i w:val="0"/>
          <w:sz w:val="24"/>
        </w:rPr>
        <w:t>(4), 512–534. https://doi.org/10.1177/1745691616635612</w:t>
      </w:r>
    </w:p>
    <w:p>
      <w:pPr>
        <w:spacing w:after="120"/>
        <w:ind w:left="720" w:hanging="720"/>
        <w:spacing w:line="240" w:lineRule="auto"/>
      </w:pPr>
      <w:r>
        <w:rPr>
          <w:rFonts w:ascii="Times New Roman" w:hAnsi="Times New Roman"/>
          <w:rFonts w:ascii="Times New Roman" w:hAnsi="Times New Roman"/>
          <w:b w:val="0"/>
          <w:i w:val="0"/>
          <w:sz w:val="24"/>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Times New Roman" w:hAnsi="Times New Roman"/>
          <w:rFonts w:ascii="Times New Roman" w:hAnsi="Times New Roman"/>
          <w:b w:val="0"/>
          <w:i/>
          <w:sz w:val="24"/>
        </w:rPr>
        <w:t>BMJ, 372</w:t>
      </w:r>
      <w:r>
        <w:rPr>
          <w:rFonts w:ascii="Times New Roman" w:hAnsi="Times New Roman"/>
          <w:rFonts w:ascii="Times New Roman" w:hAnsi="Times New Roman"/>
          <w:b w:val="0"/>
          <w:i w:val="0"/>
          <w:sz w:val="24"/>
        </w:rPr>
        <w:t>, n71. https://doi.org/10.1136/bmj.n71</w:t>
      </w:r>
    </w:p>
    <w:p>
      <w:pPr>
        <w:spacing w:after="120"/>
        <w:ind w:left="720" w:hanging="720"/>
        <w:spacing w:line="240" w:lineRule="auto"/>
      </w:pPr>
      <w:r>
        <w:rPr>
          <w:rFonts w:ascii="Times New Roman" w:hAnsi="Times New Roman"/>
          <w:rFonts w:ascii="Times New Roman" w:hAnsi="Times New Roman"/>
          <w:b w:val="0"/>
          <w:i w:val="0"/>
          <w:sz w:val="24"/>
        </w:rPr>
        <w:t xml:space="preserve">Park, D. C., &amp; Festini, S. B. (2017). Theories of memory and aging: A look at the past and a glimpse of the future. </w:t>
      </w:r>
      <w:r>
        <w:rPr>
          <w:rFonts w:ascii="Times New Roman" w:hAnsi="Times New Roman"/>
          <w:rFonts w:ascii="Times New Roman" w:hAnsi="Times New Roman"/>
          <w:b w:val="0"/>
          <w:i/>
          <w:sz w:val="24"/>
        </w:rPr>
        <w:t>The Journals of Gerontology: Series B, 72</w:t>
      </w:r>
      <w:r>
        <w:rPr>
          <w:rFonts w:ascii="Times New Roman" w:hAnsi="Times New Roman"/>
          <w:rFonts w:ascii="Times New Roman" w:hAnsi="Times New Roman"/>
          <w:b w:val="0"/>
          <w:i w:val="0"/>
          <w:sz w:val="24"/>
        </w:rPr>
        <w:t>(1), 82–90. https://doi.org/10.1093/geronb/gbw145</w:t>
      </w:r>
    </w:p>
    <w:p>
      <w:pPr>
        <w:spacing w:after="120"/>
        <w:ind w:left="720" w:hanging="720"/>
        <w:spacing w:line="240" w:lineRule="auto"/>
      </w:pPr>
      <w:r>
        <w:rPr>
          <w:rFonts w:ascii="Times New Roman" w:hAnsi="Times New Roman"/>
          <w:rFonts w:ascii="Times New Roman" w:hAnsi="Times New Roman"/>
          <w:b w:val="0"/>
          <w:i w:val="0"/>
          <w:sz w:val="24"/>
        </w:rPr>
        <w:t xml:space="preserve">Reuter-Lorenz, P. A., &amp; Cappell, K. A. (2008). Neurocognitive aging and the compensation hypothesis. </w:t>
      </w:r>
      <w:r>
        <w:rPr>
          <w:rFonts w:ascii="Times New Roman" w:hAnsi="Times New Roman"/>
          <w:rFonts w:ascii="Times New Roman" w:hAnsi="Times New Roman"/>
          <w:b w:val="0"/>
          <w:i/>
          <w:sz w:val="24"/>
        </w:rPr>
        <w:t>Current Directions in Psychological Science, 17</w:t>
      </w:r>
      <w:r>
        <w:rPr>
          <w:rFonts w:ascii="Times New Roman" w:hAnsi="Times New Roman"/>
          <w:rFonts w:ascii="Times New Roman" w:hAnsi="Times New Roman"/>
          <w:b w:val="0"/>
          <w:i w:val="0"/>
          <w:sz w:val="24"/>
        </w:rPr>
        <w:t>(3), 177–182. https://doi.org/10.1111/j.1467-8721.2008.00570.x</w:t>
      </w:r>
    </w:p>
    <w:p>
      <w:pPr>
        <w:spacing w:after="120"/>
        <w:ind w:left="720" w:hanging="720"/>
        <w:spacing w:line="240" w:lineRule="auto"/>
      </w:pPr>
      <w:r>
        <w:rPr>
          <w:rFonts w:ascii="Times New Roman" w:hAnsi="Times New Roman"/>
          <w:rFonts w:ascii="Times New Roman" w:hAnsi="Times New Roman"/>
          <w:b w:val="0"/>
          <w:i w:val="0"/>
          <w:sz w:val="24"/>
        </w:rPr>
        <w:t xml:space="preserve">Sala, G., &amp; Gobet, F. (2019). Cognitive training does not enhance general cognition. </w:t>
      </w:r>
      <w:r>
        <w:rPr>
          <w:rFonts w:ascii="Times New Roman" w:hAnsi="Times New Roman"/>
          <w:rFonts w:ascii="Times New Roman" w:hAnsi="Times New Roman"/>
          <w:b w:val="0"/>
          <w:i/>
          <w:sz w:val="24"/>
        </w:rPr>
        <w:t>Trends in Cognitive Sciences, 23</w:t>
      </w:r>
      <w:r>
        <w:rPr>
          <w:rFonts w:ascii="Times New Roman" w:hAnsi="Times New Roman"/>
          <w:rFonts w:ascii="Times New Roman" w:hAnsi="Times New Roman"/>
          <w:b w:val="0"/>
          <w:i w:val="0"/>
          <w:sz w:val="24"/>
        </w:rPr>
        <w:t>(1), 9–20. https://doi.org/10.1016/j.tics.2018.10.004</w:t>
      </w:r>
    </w:p>
    <w:p>
      <w:pPr>
        <w:spacing w:after="120"/>
        <w:ind w:left="720" w:hanging="720"/>
        <w:spacing w:line="240" w:lineRule="auto"/>
      </w:pPr>
      <w:r>
        <w:rPr>
          <w:rFonts w:ascii="Times New Roman" w:hAnsi="Times New Roman"/>
          <w:rFonts w:ascii="Times New Roman" w:hAnsi="Times New Roman"/>
          <w:b w:val="0"/>
          <w:i w:val="0"/>
          <w:sz w:val="24"/>
        </w:rPr>
        <w:t xml:space="preserve">Shipstead, Z., Redick, T. S., &amp; Engle, R. W. (2012). Is working memory training effective? </w:t>
      </w:r>
      <w:r>
        <w:rPr>
          <w:rFonts w:ascii="Times New Roman" w:hAnsi="Times New Roman"/>
          <w:rFonts w:ascii="Times New Roman" w:hAnsi="Times New Roman"/>
          <w:b w:val="0"/>
          <w:i/>
          <w:sz w:val="24"/>
        </w:rPr>
        <w:t>Psychological Bulletin, 138</w:t>
      </w:r>
      <w:r>
        <w:rPr>
          <w:rFonts w:ascii="Times New Roman" w:hAnsi="Times New Roman"/>
          <w:rFonts w:ascii="Times New Roman" w:hAnsi="Times New Roman"/>
          <w:b w:val="0"/>
          <w:i w:val="0"/>
          <w:sz w:val="24"/>
        </w:rPr>
        <w:t>(4), 628–654. https://doi.org/10.1037/a0027473</w:t>
      </w:r>
    </w:p>
    <w:p>
      <w:pPr>
        <w:spacing w:after="120"/>
        <w:ind w:left="720" w:hanging="720"/>
        <w:spacing w:line="240" w:lineRule="auto"/>
      </w:pPr>
      <w:r>
        <w:rPr>
          <w:rFonts w:ascii="Times New Roman" w:hAnsi="Times New Roman"/>
          <w:rFonts w:ascii="Times New Roman" w:hAnsi="Times New Roman"/>
          <w:b w:val="0"/>
          <w:i w:val="0"/>
          <w:sz w:val="24"/>
        </w:rPr>
        <w:t xml:space="preserve">Singley, M. K., &amp; Anderson, J. R. (1989). </w:t>
      </w:r>
      <w:r>
        <w:rPr>
          <w:rFonts w:ascii="Times New Roman" w:hAnsi="Times New Roman"/>
          <w:rFonts w:ascii="Times New Roman" w:hAnsi="Times New Roman"/>
          <w:b w:val="0"/>
          <w:i/>
          <w:sz w:val="24"/>
        </w:rPr>
        <w:t>The transfer of cognitive skill</w:t>
      </w:r>
      <w:r>
        <w:rPr>
          <w:rFonts w:ascii="Times New Roman" w:hAnsi="Times New Roman"/>
          <w:rFonts w:ascii="Times New Roman" w:hAnsi="Times New Roman"/>
          <w:b w:val="0"/>
          <w:i w:val="0"/>
          <w:sz w:val="24"/>
        </w:rPr>
        <w:t>. Harvard University Press.</w:t>
      </w:r>
    </w:p>
    <w:p>
      <w:pPr>
        <w:spacing w:after="120"/>
        <w:ind w:left="720" w:hanging="720"/>
        <w:spacing w:line="240" w:lineRule="auto"/>
      </w:pPr>
      <w:r>
        <w:rPr>
          <w:rFonts w:ascii="Times New Roman" w:hAnsi="Times New Roman"/>
          <w:rFonts w:ascii="Times New Roman" w:hAnsi="Times New Roman"/>
          <w:b w:val="0"/>
          <w:i w:val="0"/>
          <w:sz w:val="24"/>
        </w:rPr>
        <w:t xml:space="preserve">Stern, Y. (2009). Cognitive reserve. </w:t>
      </w:r>
      <w:r>
        <w:rPr>
          <w:rFonts w:ascii="Times New Roman" w:hAnsi="Times New Roman"/>
          <w:rFonts w:ascii="Times New Roman" w:hAnsi="Times New Roman"/>
          <w:b w:val="0"/>
          <w:i/>
          <w:sz w:val="24"/>
        </w:rPr>
        <w:t>Neuropsychologia, 47</w:t>
      </w:r>
      <w:r>
        <w:rPr>
          <w:rFonts w:ascii="Times New Roman" w:hAnsi="Times New Roman"/>
          <w:rFonts w:ascii="Times New Roman" w:hAnsi="Times New Roman"/>
          <w:b w:val="0"/>
          <w:i w:val="0"/>
          <w:sz w:val="24"/>
        </w:rPr>
        <w:t>(10), 2015–2028. https://doi.org/10.1016/j.neuropsychologia.2009.03.004</w:t>
      </w:r>
    </w:p>
    <w:p>
      <w:pPr>
        <w:spacing w:after="120"/>
        <w:ind w:left="720" w:hanging="720"/>
        <w:spacing w:line="240" w:lineRule="auto"/>
      </w:pPr>
      <w:r>
        <w:rPr>
          <w:rFonts w:ascii="Times New Roman" w:hAnsi="Times New Roman"/>
          <w:rFonts w:ascii="Times New Roman" w:hAnsi="Times New Roman"/>
          <w:b w:val="0"/>
          <w:i w:val="0"/>
          <w:sz w:val="24"/>
        </w:rPr>
        <w:t xml:space="preserve">Sterne, J. A. C., Savović, J., Page, M. J., Elbers, R. G., Blencowe, N. S., Boutron, I., Cates, C. J., Cheng, H.-Y., Corbett, M. S., Eldridge, S. M., Emberson, J. R., Hernán, M. A., Hopewell, S., Hróbjartsson, A., Junqueira, D. R., Jüni, P., Kirkham, J. J., Lasserson, T., Li, T., … Higgins, J. P. T. (2019). RoB 2: A revised tool for assessing risk of bias in randomised trials. </w:t>
      </w:r>
      <w:r>
        <w:rPr>
          <w:rFonts w:ascii="Times New Roman" w:hAnsi="Times New Roman"/>
          <w:rFonts w:ascii="Times New Roman" w:hAnsi="Times New Roman"/>
          <w:b w:val="0"/>
          <w:i/>
          <w:sz w:val="24"/>
        </w:rPr>
        <w:t>BMJ, 366</w:t>
      </w:r>
      <w:r>
        <w:rPr>
          <w:rFonts w:ascii="Times New Roman" w:hAnsi="Times New Roman"/>
          <w:rFonts w:ascii="Times New Roman" w:hAnsi="Times New Roman"/>
          <w:b w:val="0"/>
          <w:i w:val="0"/>
          <w:sz w:val="24"/>
        </w:rPr>
        <w:t>, l4898. https://doi.org/10.1136/bmj.l4898</w:t>
      </w:r>
    </w:p>
    <w:p>
      <w:pPr>
        <w:spacing w:after="120"/>
        <w:ind w:left="720" w:hanging="720"/>
        <w:spacing w:line="240" w:lineRule="auto"/>
      </w:pPr>
      <w:r>
        <w:rPr>
          <w:rFonts w:ascii="Times New Roman" w:hAnsi="Times New Roman"/>
          <w:rFonts w:ascii="Times New Roman" w:hAnsi="Times New Roman"/>
          <w:b w:val="0"/>
          <w:i w:val="0"/>
          <w:sz w:val="24"/>
        </w:rPr>
        <w:t xml:space="preserve">Sterne, J. A. C., Hernán, M. A., Reeves, B. C., Savović, J., Berkman, N. D., Viswanathan, M., Henry, D., Altman, D. G., Ansari, M. T., Boutron, I., Carpenter, J. R., Chan, A.-W., Churchill, R., Deeks, J. J., Hróbjartsson, A., Kirkham, J., Jüni, P., Loke, Y. K., Pigott, T. D., … Higgins, J. P. T. (2016). ROBINS-I: A tool for assessing risk of bias in non-randomised studies of interventions. </w:t>
      </w:r>
      <w:r>
        <w:rPr>
          <w:rFonts w:ascii="Times New Roman" w:hAnsi="Times New Roman"/>
          <w:rFonts w:ascii="Times New Roman" w:hAnsi="Times New Roman"/>
          <w:b w:val="0"/>
          <w:i/>
          <w:sz w:val="24"/>
        </w:rPr>
        <w:t>BMJ, 355</w:t>
      </w:r>
      <w:r>
        <w:rPr>
          <w:rFonts w:ascii="Times New Roman" w:hAnsi="Times New Roman"/>
          <w:rFonts w:ascii="Times New Roman" w:hAnsi="Times New Roman"/>
          <w:b w:val="0"/>
          <w:i w:val="0"/>
          <w:sz w:val="24"/>
        </w:rPr>
        <w:t>, i4919. https://doi.org/10.1136/bmj.i4919</w:t>
      </w:r>
    </w:p>
    <w:p>
      <w:pPr>
        <w:spacing w:after="120"/>
        <w:ind w:left="720" w:hanging="720"/>
        <w:spacing w:line="240" w:lineRule="auto"/>
      </w:pPr>
      <w:r>
        <w:rPr>
          <w:rFonts w:ascii="Times New Roman" w:hAnsi="Times New Roman"/>
          <w:rFonts w:ascii="Times New Roman" w:hAnsi="Times New Roman"/>
          <w:b w:val="0"/>
          <w:i w:val="0"/>
          <w:sz w:val="24"/>
        </w:rPr>
        <w:t xml:space="preserve">Süß, H.-M., Oberauer, K., Wittmann, W. W., Wilhelm, O., &amp; Schulze, R. (2002). Working-memory capacity explains reasoning ability—And a little bit more. </w:t>
      </w:r>
      <w:r>
        <w:rPr>
          <w:rFonts w:ascii="Times New Roman" w:hAnsi="Times New Roman"/>
          <w:rFonts w:ascii="Times New Roman" w:hAnsi="Times New Roman"/>
          <w:b w:val="0"/>
          <w:i/>
          <w:sz w:val="24"/>
        </w:rPr>
        <w:t>Intelligence, 30</w:t>
      </w:r>
      <w:r>
        <w:rPr>
          <w:rFonts w:ascii="Times New Roman" w:hAnsi="Times New Roman"/>
          <w:rFonts w:ascii="Times New Roman" w:hAnsi="Times New Roman"/>
          <w:b w:val="0"/>
          <w:i w:val="0"/>
          <w:sz w:val="24"/>
        </w:rPr>
        <w:t>(3), 261–288. https://doi.org/10.1016/S0160-2896(01)00100-3</w:t>
      </w:r>
    </w:p>
    <w:p>
      <w:pPr>
        <w:spacing w:after="120"/>
        <w:ind w:left="720" w:hanging="720"/>
        <w:spacing w:line="240" w:lineRule="auto"/>
      </w:pPr>
      <w:r>
        <w:rPr>
          <w:rFonts w:ascii="Times New Roman" w:hAnsi="Times New Roman"/>
          <w:rFonts w:ascii="Times New Roman" w:hAnsi="Times New Roman"/>
          <w:b w:val="0"/>
          <w:i w:val="0"/>
          <w:sz w:val="24"/>
        </w:rPr>
        <w:t xml:space="preserve">Thorndike, E. L., &amp; Woodworth, R. S. (1901). The influence of improvement in one mental function upon the efficiency of other functions. </w:t>
      </w:r>
      <w:r>
        <w:rPr>
          <w:rFonts w:ascii="Times New Roman" w:hAnsi="Times New Roman"/>
          <w:rFonts w:ascii="Times New Roman" w:hAnsi="Times New Roman"/>
          <w:b w:val="0"/>
          <w:i/>
          <w:sz w:val="24"/>
        </w:rPr>
        <w:t>Psychological Review, 8</w:t>
      </w:r>
      <w:r>
        <w:rPr>
          <w:rFonts w:ascii="Times New Roman" w:hAnsi="Times New Roman"/>
          <w:rFonts w:ascii="Times New Roman" w:hAnsi="Times New Roman"/>
          <w:b w:val="0"/>
          <w:i w:val="0"/>
          <w:sz w:val="24"/>
        </w:rPr>
        <w:t>(3), 247–261. https://doi.org/10.1037/h0074898</w:t>
      </w:r>
    </w:p>
    <w:p>
      <w:r>
        <w:br w:type="page"/>
      </w:r>
    </w:p>
    <w:p>
      <w:pPr>
        <w:spacing w:before="0" w:after="60"/>
        <w:jc w:val="left"/>
      </w:pPr>
      <w:r>
        <w:rPr>
          <w:rFonts w:ascii="Times New Roman" w:hAnsi="Times New Roman"/>
          <w:rFonts w:ascii="Times New Roman" w:hAnsi="Times New Roman"/>
          <w:b/>
          <w:i w:val="0"/>
          <w:sz w:val="24"/>
        </w:rPr>
        <w:t xml:space="preserve">Table 1. </w:t>
      </w:r>
      <w:r>
        <w:rPr>
          <w:rFonts w:ascii="Times New Roman" w:hAnsi="Times New Roman"/>
          <w:rFonts w:ascii="Times New Roman" w:hAnsi="Times New Roman"/>
          <w:b w:val="0"/>
          <w:i w:val="0"/>
          <w:sz w:val="24"/>
        </w:rPr>
        <w:t>Characteristics of Included Studies (k = 56)</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Seq</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First Author</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Year</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Country</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*N*</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Age *M*</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Design</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Type</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Adp</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Sessions</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Min</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Weeks</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Freq</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Active ctrl</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Combined</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Near</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Far</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FU</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Conclusion</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RoB</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Lommen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Netherlands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Salminen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Tays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64.4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Vesterinen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Belgium</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63.1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Brum</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Brazil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Wang</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China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Guye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Switzerland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Teixeira-Santos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Wayne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Šimko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Czech Rep.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79.2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Ghavidel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Boutzoukas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Verty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Canada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Tagliabue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Mičič</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Slovenia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Zając-Lamparska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TMS/Exercise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Bürki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Switzerland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Carretti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Korea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tDCS/TMS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Assecondi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Günther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Austria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84.1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Single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Critical</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Shatil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Israel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Buschkuehl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Switzerland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80.0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Booth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Sutton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Tusch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McAvinue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Canada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87.0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90.0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86.8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72.9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Brambilla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Antonenko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Zelinski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487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Spironelli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Nguyen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Australia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Pergher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Lange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Chai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Switzerland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Seq</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First Author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Year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Overall</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Lommen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Salminen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Tays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Vesterinen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Brum</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Wang</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Guye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Teixeira-Santos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Wayne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Ghavidel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Boutzoukas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Verty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Tagliabue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Mičič</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Zając-Lamparska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Carretti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Assecondi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Shatil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Buschkuehl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Booth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Sutton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Tusch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McAvinue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Brambilla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Antonenko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Zelinski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Spironelli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Nguyen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Pergher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Lange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Chai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Seq</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First Author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Year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Design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Overall</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Šimko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Crossover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Bürki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Günther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Single-group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Crit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**Critical**</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RoB Level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Some Concerns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High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Moderate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Serious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Critical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Moderator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Category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Direction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Evidence Strength</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**Training dose**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11–25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(52%)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&gt;25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All Null (100%)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Consistent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 present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(70%)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 active control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**Combined intervention**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 combined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Positive/Mixed &gt;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Pure WM only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**Baseline WM**</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baseline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Modest positive trend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baseline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All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(*k* = 2)</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Unreported baseline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**Cognitive process overlap**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overlap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Descriptive pattern; no formal subgroup test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Medium overlap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(*k* &lt; 10)</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overlap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0/3 Positive after confound correction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Descriptive pattern; see §3.4.3</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 training**</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Non-adaptive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**Age group**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Young-old (≤75)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positive rate 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Old-old (&gt;75)</w:t>
            </w:r>
          </w:p>
        </w:tc>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Predominantly Null; positive rate 14%</w:t>
            </w:r>
          </w:p>
        </w:tc>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r>
    </w:tbl>
    <w:p>
      <w:pPr>
        <w:spacing w:before="60" w:after="0"/>
        <w:jc w:val="left"/>
      </w:pPr>
      <w:r>
        <w:rPr>
          <w:rFonts w:ascii="Times New Roman" w:hAnsi="Times New Roman"/>
          <w:rFonts w:ascii="Times New Roman" w:hAnsi="Times New Roman"/>
          <w:b w:val="0"/>
          <w:i/>
          <w:sz w:val="20"/>
        </w:rPr>
        <w:t xml:space="preserve">Note. </w:t>
      </w:r>
      <w:r>
        <w:rPr>
          <w:rFonts w:ascii="Times New Roman" w:hAnsi="Times New Roman"/>
          <w:rFonts w:ascii="Times New Roman" w:hAnsi="Times New Roman"/>
          <w:b w:val="0"/>
          <w:i w:val="0"/>
          <w:sz w:val="20"/>
        </w:rPr>
        <w:t>Design: RCT = randomized controlled trial; Quasi-RCT = quasi-randomized; Single = single-group pre–post; CO = crossover. Type: NB = n-back; SP = span-based. Adp = adaptive training. Active ctrl = active control group present. FU = follow-up assessed. Conclusion = overall between-group transfer outcome. RoB = risk of bias rating. NR = not reported.</w:t>
      </w:r>
    </w:p>
    <w:p>
      <w:r>
        <w:br w:type="page"/>
      </w:r>
    </w:p>
    <w:p>
      <w:pPr>
        <w:spacing w:before="0" w:after="60"/>
        <w:jc w:val="left"/>
      </w:pPr>
      <w:r>
        <w:rPr>
          <w:rFonts w:ascii="Times New Roman" w:hAnsi="Times New Roman"/>
          <w:rFonts w:ascii="Times New Roman" w:hAnsi="Times New Roman"/>
          <w:b/>
          <w:i w:val="0"/>
          <w:sz w:val="24"/>
        </w:rPr>
        <w:t xml:space="preserve">Table 2. </w:t>
      </w:r>
      <w:r>
        <w:rPr>
          <w:rFonts w:ascii="Times New Roman" w:hAnsi="Times New Roman"/>
          <w:rFonts w:ascii="Times New Roman" w:hAnsi="Times New Roman"/>
          <w:b w:val="0"/>
          <w:i w:val="0"/>
          <w:sz w:val="24"/>
        </w:rPr>
        <w:t>Risk of Bias Assessment (RoB 2.0 for RCTs; ROBINS-I for Non-Randomized Studies)</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1003"/>
        <w:gridCol w:w="1003"/>
        <w:gridCol w:w="1003"/>
        <w:gridCol w:w="1003"/>
        <w:gridCol w:w="1003"/>
        <w:gridCol w:w="1003"/>
        <w:gridCol w:w="1003"/>
        <w:gridCol w:w="1003"/>
        <w:gridCol w:w="1003"/>
      </w:tblGrid>
      <w:tr>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Seq</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First Author</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Year</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D1</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D2</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D3</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D4</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D5</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Overall</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Lommen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Salminen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Tays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Vesterinen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Brum</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Wang</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Guye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Teixeira-Santos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Wayne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2019b</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Ghavidel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Boutzoukas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Verty</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Tagliabue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Mičič</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Zając-Lamparska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Carretti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Heo</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Assecondi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Shatil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Buschkuehl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Booth</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Sutton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Tusch</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McAvinue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Basak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Brambilla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Antonenko</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Zelinski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Spironelli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Nguyen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Pergher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Lange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Chai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Seq</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First Author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Year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Design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D5</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Šimko</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Crossover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Bürki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Günther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Single-group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Crit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RoB Level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Some Concerns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High</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Moderate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Serious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Critical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Moderator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Category</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Direction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Evidence Strength</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**Training dose**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11–25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(52%)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&gt;25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All Null (100%)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Consistent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 present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(70%)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 active control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**Combined intervention**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 combined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Positive/Mixed &gt;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Pure WM only</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**Baseline WM**</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baseline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Modest positive trend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baseline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All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(*k* = 2)</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Unreported baseline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**Cognitive process overlap**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overlap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Descriptive pattern; no formal subgroup test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Medium overlap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(*k* &lt; 10)</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overlap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0/3 Positive after confound correction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Descriptive pattern; see §3.4.3</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 training**</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Non-adaptive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**Age group**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Young-old (≤75)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positive rate 26%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Old-old (&gt;75)</w:t>
            </w:r>
          </w:p>
        </w:tc>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14</w:t>
            </w:r>
          </w:p>
        </w:tc>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Predominantly Null; positive rate 14%</w:t>
            </w:r>
          </w:p>
        </w:tc>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bottom w:val="single" w:sz="12" w:space="0" w:color="000000"/>
            </w:tcBorders>
          </w:tcPr>
          <w:p/>
        </w:tc>
        <w:tc>
          <w:tcPr>
            <w:tcW w:type="dxa" w:w="1003"/>
            <w:tcBorders>
              <w:top w:val="none"/>
              <w:left w:val="none"/>
              <w:bottom w:val="none"/>
              <w:right w:val="none"/>
              <w:insideH w:val="none"/>
              <w:insideV w:val="none"/>
              <w:bottom w:val="single" w:sz="12" w:space="0" w:color="000000"/>
            </w:tcBorders>
          </w:tcPr>
          <w:p/>
        </w:tc>
        <w:tc>
          <w:tcPr>
            <w:tcW w:type="dxa" w:w="1003"/>
            <w:tcBorders>
              <w:top w:val="none"/>
              <w:left w:val="none"/>
              <w:bottom w:val="none"/>
              <w:right w:val="none"/>
              <w:insideH w:val="none"/>
              <w:insideV w:val="none"/>
              <w:bottom w:val="single" w:sz="12" w:space="0" w:color="000000"/>
            </w:tcBorders>
          </w:tcPr>
          <w:p/>
        </w:tc>
        <w:tc>
          <w:tcPr>
            <w:tcW w:type="dxa" w:w="1003"/>
            <w:tcBorders>
              <w:top w:val="none"/>
              <w:left w:val="none"/>
              <w:bottom w:val="none"/>
              <w:right w:val="none"/>
              <w:insideH w:val="none"/>
              <w:insideV w:val="none"/>
              <w:bottom w:val="single" w:sz="12" w:space="0" w:color="000000"/>
            </w:tcBorders>
          </w:tcPr>
          <w:p/>
        </w:tc>
      </w:tr>
    </w:tbl>
    <w:p>
      <w:pPr>
        <w:spacing w:before="60" w:after="0"/>
        <w:jc w:val="left"/>
      </w:pPr>
      <w:r>
        <w:rPr>
          <w:rFonts w:ascii="Times New Roman" w:hAnsi="Times New Roman"/>
          <w:rFonts w:ascii="Times New Roman" w:hAnsi="Times New Roman"/>
          <w:b w:val="0"/>
          <w:i/>
          <w:sz w:val="20"/>
        </w:rPr>
        <w:t xml:space="preserve">Note. </w:t>
      </w:r>
      <w:r>
        <w:rPr>
          <w:rFonts w:ascii="Times New Roman" w:hAnsi="Times New Roman"/>
          <w:rFonts w:ascii="Times New Roman" w:hAnsi="Times New Roman"/>
          <w:b w:val="0"/>
          <w:i w:val="0"/>
          <w:sz w:val="20"/>
        </w:rPr>
        <w:t>D1–D5 = RoB 2.0 domains: D1 randomization, D2 deviations from intended interventions, D3 missing outcome data, D4 outcome measurement, D5 selection of reported results. Low = low risk; SC = some concerns; High = high risk. ROBINS-I ratings: Mod = moderate; Ser = serious; Crit = critical.</w:t>
      </w:r>
    </w:p>
    <w:p>
      <w:r>
        <w:br w:type="page"/>
      </w:r>
    </w:p>
    <w:p>
      <w:pPr>
        <w:spacing w:before="0" w:after="60"/>
        <w:jc w:val="left"/>
      </w:pPr>
      <w:r>
        <w:rPr>
          <w:rFonts w:ascii="Times New Roman" w:hAnsi="Times New Roman"/>
          <w:rFonts w:ascii="Times New Roman" w:hAnsi="Times New Roman"/>
          <w:b/>
          <w:i w:val="0"/>
          <w:sz w:val="24"/>
        </w:rPr>
        <w:t xml:space="preserve">Table 3. </w:t>
      </w:r>
      <w:r>
        <w:rPr>
          <w:rFonts w:ascii="Times New Roman" w:hAnsi="Times New Roman"/>
          <w:rFonts w:ascii="Times New Roman" w:hAnsi="Times New Roman"/>
          <w:b w:val="0"/>
          <w:i w:val="0"/>
          <w:sz w:val="24"/>
        </w:rPr>
        <w:t>Summary of Evidence by Moderating Factor Subgroups</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1805"/>
        <w:gridCol w:w="1805"/>
        <w:gridCol w:w="1805"/>
        <w:gridCol w:w="1805"/>
        <w:gridCol w:w="1805"/>
      </w:tblGrid>
      <w:tr>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Moderator</w:t>
            </w:r>
          </w:p>
        </w:tc>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Category</w:t>
            </w:r>
          </w:p>
        </w:tc>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*k*</w:t>
            </w:r>
          </w:p>
        </w:tc>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Direction</w:t>
            </w:r>
          </w:p>
        </w:tc>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Evidence Strength</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**Training dose**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≤10</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11–25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(52%)</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&gt;25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All Null (100%)</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Consistent</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 present</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(70%)</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 active control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**Combined intervention**</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 combined</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Positive/Mixed &gt;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Pure WM only</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**Baseline WM**</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baseline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Modest positive trend</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baseline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All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(*k* = 2)</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Unreported baseline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**Cognitive process overlap**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overlap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(63%)</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Descriptive pattern; no formal subgroup test</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Medium overlap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(*k* &lt; 10)</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overlap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0/3 Positive after confound correction</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Descriptive pattern; see §3.4.3</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 training**</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Non-adaptive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**Age group**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Young-old (≤75)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positive rate 26%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r>
      <w:tr>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Old-old (&gt;75)</w:t>
            </w:r>
          </w:p>
        </w:tc>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14</w:t>
            </w:r>
          </w:p>
        </w:tc>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Predominantly Null; positive rate 14%</w:t>
            </w:r>
          </w:p>
        </w:tc>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Mixed</w:t>
            </w:r>
          </w:p>
        </w:tc>
      </w:tr>
    </w:tbl>
    <w:p>
      <w:pPr>
        <w:spacing w:before="60" w:after="0"/>
        <w:jc w:val="left"/>
      </w:pPr>
      <w:r>
        <w:rPr>
          <w:rFonts w:ascii="Times New Roman" w:hAnsi="Times New Roman"/>
          <w:rFonts w:ascii="Times New Roman" w:hAnsi="Times New Roman"/>
          <w:b w:val="0"/>
          <w:i/>
          <w:sz w:val="20"/>
        </w:rPr>
        <w:t xml:space="preserve">Note. </w:t>
      </w:r>
      <w:r>
        <w:rPr>
          <w:rFonts w:ascii="Times New Roman" w:hAnsi="Times New Roman"/>
          <w:rFonts w:ascii="Times New Roman" w:hAnsi="Times New Roman"/>
          <w:b w:val="0"/>
          <w:i w:val="0"/>
          <w:sz w:val="20"/>
        </w:rPr>
        <w:t>k = number of studies in subgroup. Positive = all outcomes showed significant between-group advantage. Null = no significant between-group effects on any transfer outcome. Mixed = partial significant effects. Evidence Strength: Consistent = &gt;75% same direction; Moderate = 50–75%; Mixed = &lt;50%; Insufficient = k &lt; 3.</w:t>
      </w:r>
    </w:p>
    <w:p>
      <w:r>
        <w:br w:type="page"/>
      </w:r>
    </w:p>
    <w:p>
      <w:pPr>
        <w:spacing w:before="0" w:after="0"/>
        <w:jc w:val="center"/>
      </w:pPr>
      <w:r>
        <w:drawing>
          <wp:inline xmlns:a="http://schemas.openxmlformats.org/drawingml/2006/main" xmlns:pic="http://schemas.openxmlformats.org/drawingml/2006/picture">
            <wp:extent cx="5486400" cy="6096000"/>
            <wp:docPr id="1" name="Picture 1"/>
            <wp:cNvGraphicFramePr>
              <a:graphicFrameLocks noChangeAspect="1"/>
            </wp:cNvGraphicFramePr>
            <a:graphic>
              <a:graphicData uri="http://schemas.openxmlformats.org/drawingml/2006/picture">
                <pic:pic>
                  <pic:nvPicPr>
                    <pic:cNvPr id="0" name="figure1_prisma.png"/>
                    <pic:cNvPicPr/>
                  </pic:nvPicPr>
                  <pic:blipFill>
                    <a:blip r:embed="rId10"/>
                    <a:stretch>
                      <a:fillRect/>
                    </a:stretch>
                  </pic:blipFill>
                  <pic:spPr>
                    <a:xfrm>
                      <a:off x="0" y="0"/>
                      <a:ext cx="5486400" cy="6096000"/>
                    </a:xfrm>
                    <a:prstGeom prst="rect"/>
                  </pic:spPr>
                </pic:pic>
              </a:graphicData>
            </a:graphic>
          </wp:inline>
        </w:drawing>
      </w:r>
    </w:p>
    <w:p>
      <w:pPr>
        <w:spacing w:before="120" w:after="0"/>
        <w:jc w:val="left"/>
      </w:pPr>
      <w:r>
        <w:rPr>
          <w:rFonts w:ascii="Times New Roman" w:hAnsi="Times New Roman"/>
          <w:rFonts w:ascii="Times New Roman" w:hAnsi="Times New Roman"/>
          <w:b/>
          <w:i w:val="0"/>
          <w:sz w:val="24"/>
        </w:rPr>
        <w:t xml:space="preserve">Figure 1. </w:t>
      </w:r>
      <w:r>
        <w:rPr>
          <w:rFonts w:ascii="Times New Roman" w:hAnsi="Times New Roman"/>
          <w:rFonts w:ascii="Times New Roman" w:hAnsi="Times New Roman"/>
          <w:b w:val="0"/>
          <w:i w:val="0"/>
          <w:sz w:val="24"/>
        </w:rPr>
        <w:t>PRISMA 2020 flow diagram depicting the study selection process. Records identified from four databases (PubMed, PsycINFO, Web of Science, Scopus) were deduplicated and screened at title/abstract and full-text stages. Of 445 full-text articles assessed, 374 did not enter detailed eligibility review (did not meet ≥1 PICOS criterion; reasons not individually recorded) and 15 were excluded with documented reasons (E1: population criteria, n = 12; E2: intervention criteria, n = 2; E4: study design criteria, n = 1). Final included studies: n = 56.</w:t>
      </w:r>
    </w:p>
    <w:p>
      <w:r>
        <w:br w:type="page"/>
      </w:r>
    </w:p>
    <w:p>
      <w:pPr>
        <w:spacing w:before="0" w:after="0"/>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figure2_year_dist.png"/>
                    <pic:cNvPicPr/>
                  </pic:nvPicPr>
                  <pic:blipFill>
                    <a:blip r:embed="rId11"/>
                    <a:stretch>
                      <a:fillRect/>
                    </a:stretch>
                  </pic:blipFill>
                  <pic:spPr>
                    <a:xfrm>
                      <a:off x="0" y="0"/>
                      <a:ext cx="5486400" cy="3048000"/>
                    </a:xfrm>
                    <a:prstGeom prst="rect"/>
                  </pic:spPr>
                </pic:pic>
              </a:graphicData>
            </a:graphic>
          </wp:inline>
        </w:drawing>
      </w:r>
    </w:p>
    <w:p>
      <w:pPr>
        <w:spacing w:before="120" w:after="0"/>
        <w:jc w:val="left"/>
      </w:pPr>
      <w:r>
        <w:rPr>
          <w:rFonts w:ascii="Times New Roman" w:hAnsi="Times New Roman"/>
          <w:rFonts w:ascii="Times New Roman" w:hAnsi="Times New Roman"/>
          <w:b/>
          <w:i w:val="0"/>
          <w:sz w:val="24"/>
        </w:rPr>
        <w:t xml:space="preserve">Figure 2. </w:t>
      </w:r>
      <w:r>
        <w:rPr>
          <w:rFonts w:ascii="Times New Roman" w:hAnsi="Times New Roman"/>
          <w:rFonts w:ascii="Times New Roman" w:hAnsi="Times New Roman"/>
          <w:b w:val="0"/>
          <w:i w:val="0"/>
          <w:sz w:val="24"/>
        </w:rPr>
        <w:t>Distribution of included studies by publication year (N = 56). The dashed vertical line indicates the median publication year.</w:t>
      </w:r>
    </w:p>
    <w:p>
      <w:r>
        <w:br w:type="page"/>
      </w:r>
    </w:p>
    <w:p>
      <w:pPr>
        <w:spacing w:before="0" w:after="0"/>
        <w:jc w:val="center"/>
      </w:pPr>
      <w:r>
        <w:drawing>
          <wp:inline xmlns:a="http://schemas.openxmlformats.org/drawingml/2006/main" xmlns:pic="http://schemas.openxmlformats.org/drawingml/2006/picture">
            <wp:extent cx="5486400" cy="6858000"/>
            <wp:docPr id="3" name="Picture 3"/>
            <wp:cNvGraphicFramePr>
              <a:graphicFrameLocks noChangeAspect="1"/>
            </wp:cNvGraphicFramePr>
            <a:graphic>
              <a:graphicData uri="http://schemas.openxmlformats.org/drawingml/2006/picture">
                <pic:pic>
                  <pic:nvPicPr>
                    <pic:cNvPr id="0" name="figure3_moderator_summary.png"/>
                    <pic:cNvPicPr/>
                  </pic:nvPicPr>
                  <pic:blipFill>
                    <a:blip r:embed="rId12"/>
                    <a:stretch>
                      <a:fillRect/>
                    </a:stretch>
                  </pic:blipFill>
                  <pic:spPr>
                    <a:xfrm>
                      <a:off x="0" y="0"/>
                      <a:ext cx="5486400" cy="6858000"/>
                    </a:xfrm>
                    <a:prstGeom prst="rect"/>
                  </pic:spPr>
                </pic:pic>
              </a:graphicData>
            </a:graphic>
          </wp:inline>
        </w:drawing>
      </w:r>
    </w:p>
    <w:p>
      <w:pPr>
        <w:spacing w:before="120" w:after="0"/>
        <w:jc w:val="left"/>
      </w:pPr>
      <w:r>
        <w:rPr>
          <w:rFonts w:ascii="Times New Roman" w:hAnsi="Times New Roman"/>
          <w:rFonts w:ascii="Times New Roman" w:hAnsi="Times New Roman"/>
          <w:b/>
          <w:i w:val="0"/>
          <w:sz w:val="24"/>
        </w:rPr>
        <w:t xml:space="preserve">Figure 3. </w:t>
      </w:r>
      <w:r>
        <w:rPr>
          <w:rFonts w:ascii="Times New Roman" w:hAnsi="Times New Roman"/>
          <w:rFonts w:ascii="Times New Roman" w:hAnsi="Times New Roman"/>
          <w:b w:val="0"/>
          <w:i w:val="0"/>
          <w:sz w:val="24"/>
        </w:rPr>
        <w:t>Summary of outcome directions across moderating factor subgroups. Each bar represents the proportion of studies classified as Positive (all outcomes significant), Mixed (partial), or Null (no significant between-group effects) within each subgroup. Numbers in parentheses indicate study counts (k).</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rFonts w:ascii="Times New Roman" w:hAnsi="Times New Roman"/>
        <w:b w:val="0"/>
        <w:i w:val="0"/>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