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before substantial postnatal experience had accrued.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(2015)—cannot be definitively resolved, as no included study directly tested for non-linear effects. However, indirect evidence from full-range continuous samples (Brito &amp; Noble, 2020; Ozernov-Palchik et al., 2019) is more consistent with a gradient than a pure deprivation threshold account. These findings call for neonatal studies with direct biological pathway measurement, pre-registered designs with full-range SES sampling, and studies in non-Western and migrant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We did not pre-register this review in PROSPERO because the descriptive narrative synthesis design does not lend itself to a prospective protocol, and no formal registration was completed prior to data collection.</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16–18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error-monitoring neural responses in 52 toddlers (aged 16–18 months; final analysable sample after exclusions) in Spain. Using a passive puzzle-error observation paradigm—in which toddlers watched puzzle pieces being assembled correctly or incorrectly—the study recorded both the error-related negativity (ERN; a fronto-central time-domain component) and frontal theta power (4–7 Hz; a frequency-domain measure of the same error-detection process). Separate simple linear regressions were conducted for each SES predictor. When parental education (years of schooling) was entered as the sole predictor, it independently predicted a larger (more negative) ERN amplitude (</w:t>
      </w:r>
      <w:r>
        <w:rPr>
          <w:rFonts w:ascii="Times New Roman" w:hAnsi="Times New Roman"/>
          <w:b w:val="0"/>
          <w:i/>
          <w:sz w:val="24"/>
        </w:rPr>
        <w:t>β</w:t>
      </w:r>
      <w:r>
        <w:rPr>
          <w:rFonts w:ascii="Times New Roman" w:hAnsi="Times New Roman"/>
          <w:b w:val="0"/>
          <w:i w:val="0"/>
          <w:sz w:val="24"/>
        </w:rPr>
        <w:t xml:space="preserve"> = .31, </w:t>
      </w:r>
      <w:r>
        <w:rPr>
          <w:rFonts w:ascii="Times New Roman" w:hAnsi="Times New Roman"/>
          <w:b w:val="0"/>
          <w:i/>
          <w:sz w:val="24"/>
        </w:rPr>
        <w:t>F</w:t>
      </w:r>
      <w:r>
        <w:rPr>
          <w:rFonts w:ascii="Times New Roman" w:hAnsi="Times New Roman"/>
          <w:b w:val="0"/>
          <w:i w:val="0"/>
          <w:sz w:val="24"/>
        </w:rPr>
        <w:t xml:space="preserve">(1, 51) = 5.03,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.10); a parallel regression with the composite SES index (combining education, occupation, and income) as the sole predictor accounted for greater variance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.13), indicating that education contributes independently but that broader socioeconomic context captures additional explanatory power. Parental education showed a marginal association with frontal theta power in a third separate regression (</w:t>
      </w:r>
      <w:r>
        <w:rPr>
          <w:rFonts w:ascii="Times New Roman" w:hAnsi="Times New Roman"/>
          <w:b w:val="0"/>
          <w:i/>
          <w:sz w:val="24"/>
        </w:rPr>
        <w:t>β</w:t>
      </w:r>
      <w:r>
        <w:rPr>
          <w:rFonts w:ascii="Times New Roman" w:hAnsi="Times New Roman"/>
          <w:b w:val="0"/>
          <w:i w:val="0"/>
          <w:sz w:val="24"/>
        </w:rPr>
        <w:t xml:space="preserve"> = .25, </w:t>
      </w:r>
      <w:r>
        <w:rPr>
          <w:rFonts w:ascii="Times New Roman" w:hAnsi="Times New Roman"/>
          <w:b w:val="0"/>
          <w:i/>
          <w:sz w:val="24"/>
        </w:rPr>
        <w:t>F</w:t>
      </w:r>
      <w:r>
        <w:rPr>
          <w:rFonts w:ascii="Times New Roman" w:hAnsi="Times New Roman"/>
          <w:b w:val="0"/>
          <w:i w:val="0"/>
          <w:sz w:val="24"/>
        </w:rPr>
        <w:t xml:space="preserve">(1, 51) = 3.47, </w:t>
      </w:r>
      <w:r>
        <w:rPr>
          <w:rFonts w:ascii="Times New Roman" w:hAnsi="Times New Roman"/>
          <w:b w:val="0"/>
          <w:i/>
          <w:sz w:val="24"/>
        </w:rPr>
        <w:t>p</w:t>
      </w:r>
      <w:r>
        <w:rPr>
          <w:rFonts w:ascii="Times New Roman" w:hAnsi="Times New Roman"/>
          <w:b w:val="0"/>
          <w:i w:val="0"/>
          <w:sz w:val="24"/>
        </w:rPr>
        <w:t xml:space="preserve"> = .07). This is notable because the ERN is typically not robust until 5–6 years in Western samples (Davies et al., 2004; Torpey et al., 2009); its detectability in toddlers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after FDR correction, after mutual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prior to the accumulation of substantial postnatal experience—including full-term neonates scanned within days of birth (Ramphal et al., 2020) and very preterm infants assessed during the NICU period (McKinnon et al., 2023; Konrad et al., 2024)—prenatal mechanisms operating via maternal stress physiology and nutritional status likely contribute substantially to the observed parental education associations.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before substantial postnatal experience had accrued—including in one study scanning full-term infants within four days of birth (Ramphal et al., 2020), and in two studies of very preterm infants assessed during the NICU period (McKinnon et al., 2023; Konrad et al., 2024)—consistent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before substantial postnatal experience had accrued,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excluding the three neonatal studies) indicate that education-related neural differences are already present and widening in the first two years of life—before formal schooling and before most cognitive assessment instruments can be reliably administered. The school-age findings (seven studies, four of which extend beyond 8 years but report primary effects or subgroup analyses within the school-age range)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†Lange et al. (2010) is categorised under global morphometry for tabulation purposes; its primary finding was an association between parental education and verbal IQ, with brain volume included as a covariate rather than a primary neural outcome (see §3.5.1).</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1.5–8 years continuously, is an exception and is noted in both the infancy and childhood windows.</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 Note: Zhu et al. (2023), whose longitudinal MRI assessments spanned birth through 8 years, is counted only in the Childhood window below and is not included in the k = 9 above.</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Notably, no study in the current review examined parental education effects on neural development in children aged 3–5 years. This is a period characterised by rapid language acquisition—vocabulary expanding from approximately 200 to 2,000 words—and the emergence of executive function capacities including inhibitory control and working memory (Diamond, 2013). It is also the developmental window in which parental language input and cognitive scaffolding are hypothesised to be most directly translated into neural organisation. The complete absence of neuroimaging evidence for this age range represents the most critical missing window in the current evidence base, and constitutes a direct gap between the prenatal/neonatal evidence and the school-age evidence reviewed here.</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in the upper portion of their 1.5–8 year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A potential methodological moderator is how parental education was measured. Across 16 studies, education was operationalized as continuous years of schooling (</w:t>
      </w:r>
      <w:r>
        <w:rPr>
          <w:rFonts w:ascii="Times New Roman" w:hAnsi="Times New Roman"/>
          <w:b w:val="0"/>
          <w:i/>
          <w:sz w:val="24"/>
        </w:rPr>
        <w:t>k</w:t>
      </w:r>
      <w:r>
        <w:rPr>
          <w:rFonts w:ascii="Times New Roman" w:hAnsi="Times New Roman"/>
          <w:b w:val="0"/>
          <w:i w:val="0"/>
          <w:sz w:val="24"/>
        </w:rPr>
        <w:t xml:space="preserve"> = 9), categorical degree attainment (</w:t>
      </w:r>
      <w:r>
        <w:rPr>
          <w:rFonts w:ascii="Times New Roman" w:hAnsi="Times New Roman"/>
          <w:b w:val="0"/>
          <w:i/>
          <w:sz w:val="24"/>
        </w:rPr>
        <w:t>k</w:t>
      </w:r>
      <w:r>
        <w:rPr>
          <w:rFonts w:ascii="Times New Roman" w:hAnsi="Times New Roman"/>
          <w:b w:val="0"/>
          <w:i w:val="0"/>
          <w:sz w:val="24"/>
        </w:rPr>
        <w:t xml:space="preserve"> = 5), or composite-separable (</w:t>
      </w:r>
      <w:r>
        <w:rPr>
          <w:rFonts w:ascii="Times New Roman" w:hAnsi="Times New Roman"/>
          <w:b w:val="0"/>
          <w:i/>
          <w:sz w:val="24"/>
        </w:rPr>
        <w:t>k</w:t>
      </w:r>
      <w:r>
        <w:rPr>
          <w:rFonts w:ascii="Times New Roman" w:hAnsi="Times New Roman"/>
          <w:b w:val="0"/>
          <w:i w:val="0"/>
          <w:sz w:val="24"/>
        </w:rPr>
        <w:t xml:space="preserve"> = 7, with some overlap).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or regions,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jc w:val="left"/>
        <w:spacing w:before="0" w:after="120" w:line="480" w:lineRule="auto"/>
      </w:pPr>
      <w:r>
        <w:rPr>
          <w:rFonts w:ascii="Times New Roman" w:hAnsi="Times New Roman"/>
          <w:b w:val="0"/>
          <w:i w:val="0"/>
          <w:sz w:val="24"/>
        </w:rPr>
        <w:t>Finally, this review was not pre-registered in PROSPERO. As a narrative synthesis without a prospective analysis protocol, formal registration was not completed prior to data collection; this is acknowledged as a limitation in line with PRISMA 2020 transparency standards.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 https://doi.org/10.1097/YCO.0b013e3283387d9f</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