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early childhood neural development: a systematic review of EEG, ERP, fNIRS, and neuroimaging evidence (ages 0–8 years)</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reliable predictor of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children aged 0–8 years, examining under what conditions effects are detectable, from what developmental point they emerge, and through what mechanisms they operate.</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children aged 0–8 years.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10 countries) met inclusion criteria. Across six modalities, 15 of 16 (94%) reported a positive association between higher parental education and more mature neural indices; three neonatal studies indicated associations detectable from birth.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birth through middle childhood, with effects concentrated in language and executive control networks rather than distributed uniformly across the brain. Three neonatal studies—including one scanning full-term infants within four days of birth—indicate that prenatal mechanisms are a necessary component of the association. Effects were consistent across 15 of 16 mainstream-culture samples; the single exception (a migrant-majority sample) points to cultural and linguistic context as an important moderator requiring further investigation. Whether the association follows a full-range gradient or a deprivation threshold—the central debate in this literature since Noble et al. (2015)—cannot be definitively resolved, as no included study directly tested for non-linear effects. However, indirect evidence from full-range continuous samples (Brito &amp; Noble, 2020; Ozernov-Palchik et al., 2019) is more consistent with a gradient than a pure deprivation threshold account. These findings call for neonatal studies with direct biological pathway measurement, pre-registered designs with full-range SES sampling, and studies in non-Western and migrant populations.</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 xml:space="preserve">A landmark study by Noble et al. (2015) in </w:t>
      </w:r>
      <w:r>
        <w:rPr>
          <w:rFonts w:ascii="Times New Roman" w:hAnsi="Times New Roman"/>
          <w:b w:val="0"/>
          <w:i/>
          <w:sz w:val="24"/>
        </w:rPr>
        <w:t>Nature Neuroscience</w:t>
      </w:r>
      <w:r>
        <w:rPr>
          <w:rFonts w:ascii="Times New Roman" w:hAnsi="Times New Roman"/>
          <w:b w:val="0"/>
          <w:i w:val="0"/>
          <w:sz w:val="24"/>
        </w:rP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pPr>
        <w:jc w:val="left"/>
        <w:spacing w:before="0" w:after="120" w:line="480" w:lineRule="auto"/>
      </w:pPr>
      <w:r>
        <w:rPr>
          <w:rFonts w:ascii="Times New Roman" w:hAnsi="Times New Roman"/>
          <w:b w:val="0"/>
          <w:i w:val="0"/>
          <w:sz w:val="24"/>
        </w:rPr>
        <w:t xml:space="preserve">The present review addresses these issues with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Under what conditions</w:t>
      </w:r>
      <w:r>
        <w:rPr>
          <w:rFonts w:ascii="Times New Roman" w:hAnsi="Times New Roman"/>
          <w:b w:val="0"/>
          <w:i w:val="0"/>
          <w:sz w:val="24"/>
        </w:rPr>
        <w:t xml:space="preserve"> are associations detectable—which neural systems, which developmental windows, and which cultural contexts show the most consistent effects? (2) </w:t>
      </w:r>
      <w:r>
        <w:rPr>
          <w:rFonts w:ascii="Times New Roman" w:hAnsi="Times New Roman"/>
          <w:b w:val="0"/>
          <w:i/>
          <w:sz w:val="24"/>
        </w:rPr>
        <w:t>Through what mechanisms and from what point in development</w:t>
      </w:r>
      <w:r>
        <w:rPr>
          <w:rFonts w:ascii="Times New Roman" w:hAnsi="Times New Roman"/>
          <w:b w:val="0"/>
          <w:i w:val="0"/>
          <w:sz w:val="24"/>
        </w:rPr>
        <w:t xml:space="preserve"> do associations emerge—and what do neonatal findings imply about prenatal versus postnatal pathways? (3) </w:t>
      </w:r>
      <w:r>
        <w:rPr>
          <w:rFonts w:ascii="Times New Roman" w:hAnsi="Times New Roman"/>
          <w:b w:val="0"/>
          <w:i/>
          <w:sz w:val="24"/>
        </w:rPr>
        <w:t>What does the current evidence base leave unresolved</w:t>
      </w:r>
      <w:r>
        <w:rPr>
          <w:rFonts w:ascii="Times New Roman" w:hAnsi="Times New Roman"/>
          <w:b w:val="0"/>
          <w:i w:val="0"/>
          <w:sz w:val="24"/>
        </w:rPr>
        <w:t>—particularly regarding the gradient versus deprivation threshold debate—and what does this imply for future research design?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The review was not pre-registered in PROSPERO; a decision was made to proceed without registration given the descriptive, narrative synthesis design and absence of a protocol suitable for prospective registration at the time data collection commenced.</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87);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4); non-empirical publication type (E4, </w:t>
      </w:r>
      <w:r>
        <w:rPr>
          <w:rFonts w:ascii="Times New Roman" w:hAnsi="Times New Roman"/>
          <w:b w:val="0"/>
          <w:i/>
          <w:sz w:val="24"/>
        </w:rPr>
        <w:t>k</w:t>
      </w:r>
      <w:r>
        <w:rPr>
          <w:rFonts w:ascii="Times New Roman" w:hAnsi="Times New Roman"/>
          <w:b w:val="0"/>
          <w:i w:val="0"/>
          <w:sz w:val="24"/>
        </w:rPr>
        <w:t xml:space="preserve"> = 1); and full text inaccessible (E6,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six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full text inaccessible, </w:t>
      </w:r>
      <w:r>
        <w:rPr>
          <w:rFonts w:ascii="Times New Roman" w:hAnsi="Times New Roman"/>
          <w:b w:val="0"/>
          <w:i/>
          <w:sz w:val="24"/>
        </w:rPr>
        <w:t>k</w:t>
      </w:r>
      <w:r>
        <w:rPr>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b w:val="0"/>
          <w:i/>
          <w:sz w:val="24"/>
        </w:rPr>
        <w:t>k</w:t>
      </w:r>
      <w:r>
        <w:rPr>
          <w:rFonts w:ascii="Times New Roman" w:hAnsi="Times New Roman"/>
          <w:b w:val="0"/>
          <w:i w:val="0"/>
          <w:sz w:val="24"/>
        </w:rPr>
        <w:t xml:space="preserve"> = 87).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approximately 2,200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(preterm; two MRI timepoints)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12–30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error-related negativity (ERN), an ERP component indexing error monitoring and prefrontal cognitive control, in 56 toddlers (aged 12–30 months) in Spain. Error monitoring was assessed during a go/no-go task, and parental education (years of schooling) was the primary exposure variable. Higher parental education predicted a larger (more negative) ERN amplitude, reflecting stronger neural responses to errors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after controlling for child age and sex. This is notable because the ERN is typically not robust until 5–6 years in Western samples (Davies et al., 2004; Torpey et al., 2009); its detectability in toddlers in this study,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 and the effect size was moderate to large.</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at term-equivalent age in a cohort of 261 infants in the United Kingdom—170 extremely and very preterm infants (born &lt;33 weeks) and 91 full-term or near-term controls. Maternal education (university degree vs. lower) was included as a family-level SES exposure in exploratory analyses. Higher maternal education was independently associated with larger regional brain volumes across four parcels (left and right cerebella, left middle superior temporal gyrus, left anterior lateral occipitotemporal gyrus; </w:t>
      </w:r>
      <w:r>
        <w:rPr>
          <w:rFonts w:ascii="Times New Roman" w:hAnsi="Times New Roman"/>
          <w:b w:val="0"/>
          <w:i/>
          <w:sz w:val="24"/>
        </w:rPr>
        <w:t>β</w:t>
      </w:r>
      <w:r>
        <w:rPr>
          <w:rFonts w:ascii="Times New Roman" w:hAnsi="Times New Roman"/>
          <w:b w:val="0"/>
          <w:i w:val="0"/>
          <w:sz w:val="24"/>
        </w:rPr>
        <w:t xml:space="preserve"> range 0.09–0.15) after FDR correction, after mutual adjustment for gestational age at birth. Because all infants were assessed at or near term-equivalent age, before the accumulation of substantial independent learning experience, this finding is consistent with both prenatal and early postnatal environmental influences. This is the highest-quality study in the review (NOS = 9), and its demonstration that maternal education associations with brain structure are detectable alongside gestational age effects—even in a preterm-enriched sample—provides evidence for an early-emerging pathway from maternal education to neural structure that is not reducible to gestational maturity alone.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examined hippocampal development in a longitudinal cohort of 162 very preterm neonates (</w:t>
      </w:r>
      <w:r>
        <w:rPr>
          <w:rFonts w:ascii="Times New Roman" w:hAnsi="Times New Roman"/>
          <w:b w:val="0"/>
          <w:i/>
          <w:sz w:val="24"/>
        </w:rPr>
        <w:t>N</w:t>
      </w:r>
      <w:r>
        <w:rPr>
          <w:rFonts w:ascii="Times New Roman" w:hAnsi="Times New Roman"/>
          <w:b w:val="0"/>
          <w:i w:val="0"/>
          <w:sz w:val="24"/>
        </w:rPr>
        <w:t xml:space="preserve"> = 162 with SES data; 126 with 18-month cognitive outcome) recruited at the Hospital for Sick Children, Toronto, Canada, and Children's Hospital Dritter Orden, Munich, Germany. Structural and resting-state functional MRI were acquired at two time points: early-in-life (median PMA 32.9 weeks) and at term-equivalent age (median PMA 41.1 weeks). Maternal education (categorical: high school / college–undergraduate / postgraduate) was the primary SES measure. Contrary to a simple main-effect model, maternal education did not predict neonatal hippocampal volume per se. Instead, maternal education moderated the association between anterior hippocampal volume and 18-month Bayley-III cognitive scores (</w:t>
      </w:r>
      <w:r>
        <w:rPr>
          <w:rFonts w:ascii="Times New Roman" w:hAnsi="Times New Roman"/>
          <w:b w:val="0"/>
          <w:i/>
          <w:sz w:val="24"/>
        </w:rPr>
        <w:t>p</w:t>
      </w:r>
      <w:r>
        <w:rPr>
          <w:rFonts w:ascii="Times New Roman" w:hAnsi="Times New Roman"/>
          <w:b w:val="0"/>
          <w:i w:val="0"/>
          <w:sz w:val="24"/>
        </w:rPr>
        <w:t xml:space="preserve"> = .005 for the interaction) and between hippocampal functional connectivity and cognitive outcome (</w:t>
      </w:r>
      <w:r>
        <w:rPr>
          <w:rFonts w:ascii="Times New Roman" w:hAnsi="Times New Roman"/>
          <w:b w:val="0"/>
          <w:i/>
          <w:sz w:val="24"/>
        </w:rPr>
        <w:t>p</w:t>
      </w:r>
      <w:r>
        <w:rPr>
          <w:rFonts w:ascii="Times New Roman" w:hAnsi="Times New Roman"/>
          <w:b w:val="0"/>
          <w:i w:val="0"/>
          <w:sz w:val="24"/>
        </w:rPr>
        <w:t xml:space="preserve"> = .05 for the interaction). Critically, the positive relationship between larger hippocampal volume and higher cognition was present specifically in the </w:t>
      </w:r>
      <w:r>
        <w:rPr>
          <w:rFonts w:ascii="Times New Roman" w:hAnsi="Times New Roman"/>
          <w:b/>
          <w:i w:val="0"/>
          <w:sz w:val="24"/>
        </w:rPr>
        <w:t>lowest</w:t>
      </w:r>
      <w:r>
        <w:rPr>
          <w:rFonts w:ascii="Times New Roman" w:hAnsi="Times New Roman"/>
          <w:b w:val="0"/>
          <w:i w:val="0"/>
          <w:sz w:val="24"/>
        </w:rPr>
        <w:t>-SES group (high school degree), not in higher-educated groups. This counterintuitive pattern may reflect that for infants of higher-educated parents, other environmental resources buffer cognition sufficiently that hippocampal size is no longer the limiting factor; in the most disadvantaged group, hippocampal integrity becomes a more proximal determinant of outcome. Because this is a preterm-only sample assessed within the NICU period, the findings complement but are not directly comparable to studies of term-born children; NICU-related stressors and parental involvement during hospitalization may constitute additional pathways through which maternal education influences neonatal hippocampal-cognitive coupling in this population.</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very preterm infants (born &lt;32 weeks gestational age) longitudinally from NICU admission at the Hospital for Sick Children, Toronto, Canada, acquiring structural MRI at term-equivalent age and again at corrected age 2 years. Parental education (categorical: postsecondary vs. no postsecondary) predicted cerebellar growth trajectory, with infants of higher-educated parents showing significantly greater cerebellar volume increase between assessments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finding that parental education predicts accelerated cerebellar recovery in this high-risk preterm cohort suggests that the home environment can partially buffer the neurological consequences of premature birth. Readers should note that, because this is a preterm-only sample, the cerebellar effects may partly reflect education-associated variation in NICU care quality and parental involvement rather than the same mechanisms operating in typically developing term-born children.</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deductive reasoning task in 42 children aged 6–13 years in the United States. Parental education (years of schooling) independently predicted activation in left inferior frontal gyrus (IFG) during the reasoning task after small-volume correction (</w:t>
      </w:r>
      <w:r>
        <w:rPr>
          <w:rFonts w:ascii="Times New Roman" w:hAnsi="Times New Roman"/>
          <w:b w:val="0"/>
          <w:i/>
          <w:sz w:val="24"/>
        </w:rPr>
        <w:t>p</w:t>
      </w:r>
      <w:r>
        <w:rPr>
          <w:rFonts w:ascii="Times New Roman" w:hAnsi="Times New Roman"/>
          <w:b w:val="0"/>
          <w:i w:val="0"/>
          <w:sz w:val="24"/>
        </w:rPr>
        <w:t xml:space="preserve"> &lt; .05, SVC). Left IFG—encompassing Broca's area and adjacent lateral prefrontal cortex—supports both language processing and logical inference; its activation during deductive reasoning in school-age children reflects the integration of language and relational reasoning capacities that develop through cognitively stimulating home environments. The finding that parental education, independently of other SES indicators, predicts left IFG recruitment during reasoning is consistent with a pathway from educationally enriched home environments to more mature prefrontal engagement during complex cognitive operations.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prefrontal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education—may be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child—a dimension of the home environment that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at birth and in the neonatal period (McKinnon et al., 2023; Ramphal et al., 2020; Konrad et al., 2024), prenatal mechanisms—operating via maternal stress physiology and nutritional status—likely contribute substantially to the observed parental education associations, given that postnatal environmental experience had not yet accrued at the time of measurement.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before substantial postnatal experience had accrued—including in one study scanning full-term infants within four days of birth (Ramphal et al., 2020), and in two studies of very preterm infants assessed during the NICU period (McKinnon et al., 2023; Konrad et al., 2024)—consistent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and the education–FA association in this tract persisted after controlling for income,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and sensitive periods</w:t>
      </w:r>
    </w:p>
    <w:p>
      <w:pPr>
        <w:jc w:val="left"/>
        <w:spacing w:before="0" w:after="120" w:line="480" w:lineRule="auto"/>
      </w:pPr>
      <w:r>
        <w:rPr>
          <w:rFonts w:ascii="Times New Roman" w:hAnsi="Times New Roman"/>
          <w:b w:val="0"/>
          <w:i w:val="0"/>
          <w:sz w:val="24"/>
        </w:rPr>
        <w:t xml:space="preserve">The age distribution of included studies speaks to the question of when in development parental education associations with neural outcomes are first detectable and whether associations are concentrated in particular developmental windows. The neonatal findings (three of 16 studies) establish associations detectable from birth, consistent with </w:t>
      </w:r>
      <w:r>
        <w:rPr>
          <w:rFonts w:ascii="Times New Roman" w:hAnsi="Times New Roman"/>
          <w:b w:val="0"/>
          <w:i/>
          <w:sz w:val="24"/>
        </w:rPr>
        <w:t>in utero</w:t>
      </w:r>
      <w:r>
        <w:rPr>
          <w:rFonts w:ascii="Times New Roman" w:hAnsi="Times New Roman"/>
          <w:b w:val="0"/>
          <w:i w:val="0"/>
          <w:sz w:val="24"/>
        </w:rPr>
        <w:t xml:space="preserve"> origins. The infant and toddler findings (seven studies) indicate that education-related neural differences are already present and widening in the first two years of life—before formal schooling and before most cognitive assessment instruments can be reliably administered. The school-age findings (seven studies, four of which extend beyond 8 years but report primary effects or subgroup analyses within the school-age range) demonstrate that these differences persist into middle childhood, with some evidence that they may be increasing (e.g., Ozernov-Palchik et al., 2019, finding large arcuate FA associations at 5–8 years).</w:t>
      </w:r>
    </w:p>
    <w:p>
      <w:pPr>
        <w:jc w:val="left"/>
        <w:spacing w:before="0" w:after="120" w:line="480" w:lineRule="auto"/>
      </w:pPr>
      <w:r>
        <w:rPr>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associated with differences in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†Brito &amp; Noble (2020) reported a nominally significant association that did not survive FDR correction and should be interpreted cautiously (see Section 4.3.4).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†Lange et al. (2010) used brain volume as a covariate rather than a primary neural outcome; the primary reported finding was an association between parental education and verbal IQ.</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Studies are classified by their primary measurement age; studies whose samples span multiple windows are counted once in the window containing their primary age range, with cross-window coverage noted where relevant. Zhu et al. (2023), whose MRI assessments spanned 1.5–8 years continuously, is an exception and is noted in both the infancy and childhood windows.</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established associations detectable before substantial postnatal experience had accrued: one scanning full-term infants within four days of birth (Ramphal et al., 2020) and two examining very preterm infants during the NICU period at term-equivalent age (McKinnon et al., 2023; Konrad et al., 2024), all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Notably, no study in the current review examined parental education effects on neural development in children aged 3–5 years. This is a period characterised by rapid language acquisition—vocabulary expanding from approximately 200 to 2,000 words—and the emergence of executive function capacities including inhibitory control and working memory (Diamond, 2013). It is also the developmental window in which parental language input and cognitive scaffolding are hypothesised to be most directly translated into neural organisation. The complete absence of neuroimaging evidence for this age range represents the most critical missing window in the current evidence base, and constitutes a direct gap between the prenatal/neonatal evidence and the school-age evidence reviewed here.</w:t>
      </w:r>
    </w:p>
    <w:p>
      <w:pPr>
        <w:jc w:val="left"/>
        <w:spacing w:before="0" w:after="120" w:line="480" w:lineRule="auto"/>
      </w:pPr>
      <w:r>
        <w:rPr>
          <w:rFonts w:ascii="Times New Roman" w:hAnsi="Times New Roman"/>
          <w:b/>
          <w:i w:val="0"/>
          <w:sz w:val="24"/>
        </w:rPr>
        <w:t>Childhood (6–12 years; *k* = 7).</w:t>
      </w:r>
      <w:r>
        <w:rPr>
          <w:rFonts w:ascii="Times New Roman" w:hAnsi="Times New Roman"/>
          <w:b w:val="0"/>
          <w:i w:val="0"/>
          <w:sz w:val="24"/>
        </w:rPr>
        <w:t xml:space="preserve"> Seven studies included children in the school-age period, including the longitudinal trajectories reported by Zhu et al. (2023) in the upper portion of their 1.5–8 year range. All seven reported positive associations (Wijeakumar et al., 2019; Ozernov-Palchik et al., 2019; Demir-Lira et al., 2021; Maguire &amp; Schneider, 2019; Ursache &amp; Noble, 2016; Zhu et al., 2023; Lange et al., 2010), making this the developmental window with the highest directional consistency in the review. Note that four of these seven studies (Demir-Lira et al., 2021, aged 6–13y; Maguire &amp; Schneider, 2019, aged 8–15y; Ursache &amp; Noble, 2016, aged 3–21y; Lange et al., 2010, aged 4–18y) included participants extending beyond the 0–8 year target window, but each reported primary effects or subgroup analyses within the school-age range.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w:t>
      </w:r>
      <w:r>
        <w:rPr>
          <w:rFonts w:ascii="Times New Roman" w:hAnsi="Times New Roman"/>
          <w:b w:val="0"/>
          <w:i w:val="0"/>
          <w:sz w:val="24"/>
        </w:rPr>
        <w:t xml:space="preserve"> Two studies whose samples extended into adolescence—Maguire &amp; Schneider (2019; aged 8–15 years) and Lange et al. (2010; aged 4–18 years)—are both classified in the childhood window above given their primary focus on school-age children. Both reported positive associations extending into the adolescent age range, but the adolescent-specific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young children—would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A potential methodological moderator is how parental education was measured. Across 16 studies, education was operationalized as continuous years of schooling (</w:t>
      </w:r>
      <w:r>
        <w:rPr>
          <w:rFonts w:ascii="Times New Roman" w:hAnsi="Times New Roman"/>
          <w:b w:val="0"/>
          <w:i/>
          <w:sz w:val="24"/>
        </w:rPr>
        <w:t>k</w:t>
      </w:r>
      <w:r>
        <w:rPr>
          <w:rFonts w:ascii="Times New Roman" w:hAnsi="Times New Roman"/>
          <w:b w:val="0"/>
          <w:i w:val="0"/>
          <w:sz w:val="24"/>
        </w:rPr>
        <w:t xml:space="preserve"> = 9), categorical degree attainment (</w:t>
      </w:r>
      <w:r>
        <w:rPr>
          <w:rFonts w:ascii="Times New Roman" w:hAnsi="Times New Roman"/>
          <w:b w:val="0"/>
          <w:i/>
          <w:sz w:val="24"/>
        </w:rPr>
        <w:t>k</w:t>
      </w:r>
      <w:r>
        <w:rPr>
          <w:rFonts w:ascii="Times New Roman" w:hAnsi="Times New Roman"/>
          <w:b w:val="0"/>
          <w:i w:val="0"/>
          <w:sz w:val="24"/>
        </w:rPr>
        <w:t xml:space="preserve"> = 5), or composite-separable (</w:t>
      </w:r>
      <w:r>
        <w:rPr>
          <w:rFonts w:ascii="Times New Roman" w:hAnsi="Times New Roman"/>
          <w:b w:val="0"/>
          <w:i/>
          <w:sz w:val="24"/>
        </w:rPr>
        <w:t>k</w:t>
      </w:r>
      <w:r>
        <w:rPr>
          <w:rFonts w:ascii="Times New Roman" w:hAnsi="Times New Roman"/>
          <w:b w:val="0"/>
          <w:i w:val="0"/>
          <w:sz w:val="24"/>
        </w:rPr>
        <w:t xml:space="preserve"> = 7, with some overlap).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4.4.3 below, distinguishing gradient from threshold effects is a priority for future research, and will require designs that preserve continuous variation across the full education distribution.</w:t>
      </w:r>
    </w:p>
    <w:p>
      <w:pPr>
        <w:jc w:val="left"/>
        <w:spacing w:before="0" w:after="120" w:line="480" w:lineRule="auto"/>
      </w:pPr>
      <w:r>
        <w:rPr>
          <w:rFonts w:ascii="Times New Roman" w:hAnsi="Times New Roman"/>
          <w:b w:val="0"/>
          <w:i w:val="0"/>
          <w:sz w:val="24"/>
        </w:rPr>
        <w:t>One finding within this review warrants specific attention as a case where the association was present at nominal significance but did not survive correction for multiple comparisons. Brito &amp; Noble (2020) reported that parental education was positively associated with posterior alpha/beta EEG power in 6–12-month-old infants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but this association did not survive false-discovery rate (FDR) correction across the full set of frequency-band and electrode comparisons tested. The study is classified as positive in Table 1 on the basis of its nominally significant, correctly-directed association, but the failure to survive FDR correction means the finding should be interpreted with caution and weighted accordingly. Its failure to survive FDR correction more likely reflects the combination of a relatively small effect size and the inferential cost of testing multiple outcomes simultaneously, rather than a genuine absence of association—but this cannot be ruled out. The Brito &amp; Noble (2020) sample spanned the full SES range and used a composite-separable operationalization of parental education controlling for income and other SES indicators, making sample restriction an unlikely explanation for the attenuated result. This suggests that EEG power during the 6–12-month period may be a less sensitive neural index of parental education than white matter microstructure (detectable at the same age in Turesky et al., 2022), possibly because alpha oscillations are still in a relatively undifferentiated state at 6–12 months and individual differences attributable to environmental factors are not yet reliably captured by power metrics at the scalp surface. Future studies with larger samples and pre-specified primary outcomes would clarify whether this result reflects a true absence of an EEG power association at this age or a power limitation of the existing literature.</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4.4.1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4.4.2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measuring neonatal brain morphology at term-equivalent age in a mixed preterm and full-term cohort after several weeks of NICU care for the preterm infants, similarly found that maternal education was associated with regional brain volumes before meaningful independent learning experience had accumulated. Konrad et al. (2024), studying 162 very preterm neonates with two MRI acquisitions spanning the NICU period, found that maternal education moderated the relationship between neonatal hippocampal development and 18-month cognitive outcome—demonstrating that the functional significance of early hippocampal organization is already shaped by maternal education within the preterm period, before substantial independent postnatal experience accrues.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differences—are therefore necessary rather than optional components of any complete mechanistic model.</w:t>
      </w:r>
    </w:p>
    <w:p>
      <w:pPr>
        <w:pStyle w:val="Heading3"/>
        <w:spacing w:before="160" w:after="40" w:line="360" w:lineRule="auto"/>
      </w:pPr>
      <w:r>
        <w:rPr>
          <w:rFonts w:ascii="Times New Roman" w:hAnsi="Times New Roman"/>
          <w:b/>
          <w:sz w:val="24"/>
        </w:rPr>
        <w:t>4.4.3 The gradient versus threshold question: what the current evidence permits</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A definitive empirical resolution of the gradient versus threshold debate for parental education in the 0–8 year age range therefore awaits studies that explicitly model non-linearity. However, the current evidence is not entirely agnostic between the two models.</w:t>
      </w:r>
    </w:p>
    <w:p>
      <w:pPr>
        <w:jc w:val="left"/>
        <w:spacing w:before="0" w:after="120" w:line="480" w:lineRule="auto"/>
      </w:pPr>
      <w:r>
        <w:rPr>
          <w:rFonts w:ascii="Times New Roman" w:hAnsi="Times New Roman"/>
          <w:b w:val="0"/>
          <w:i w:val="0"/>
          <w:sz w:val="24"/>
        </w:rPr>
        <w:t xml:space="preserve">Three features of the reviewed evidence offer indirect support for a gradient rather than a pure deprivation threshold. First, the two studies using full-range continuous education samples—Brito &amp; Noble (2020; </w:t>
      </w:r>
      <w:r>
        <w:rPr>
          <w:rFonts w:ascii="Times New Roman" w:hAnsi="Times New Roman"/>
          <w:b w:val="0"/>
          <w:i/>
          <w:sz w:val="24"/>
        </w:rPr>
        <w:t>β</w:t>
      </w:r>
      <w:r>
        <w:rPr>
          <w:rFonts w:ascii="Times New Roman" w:hAnsi="Times New Roman"/>
          <w:b w:val="0"/>
          <w:i w:val="0"/>
          <w:sz w:val="24"/>
        </w:rPr>
        <w:t xml:space="preserve"> = 0.05 for posterior EEG power, sample spanning &lt; high school to graduate degree) and Ozernov-Palchik et al. (2019; </w:t>
      </w:r>
      <w:r>
        <w:rPr>
          <w:rFonts w:ascii="Times New Roman" w:hAnsi="Times New Roman"/>
          <w:b w:val="0"/>
          <w:i/>
          <w:sz w:val="24"/>
        </w:rPr>
        <w:t>r</w:t>
      </w:r>
      <w:r>
        <w:rPr>
          <w:rFonts w:ascii="Times New Roman" w:hAnsi="Times New Roman"/>
          <w:b w:val="0"/>
          <w:i w:val="0"/>
          <w:sz w:val="24"/>
        </w:rPr>
        <w:t xml:space="preserve"> = 0.33 for arcuate FA, sample spanning &lt; high school to graduate degree)—both detected effects that were modelled as linear associations across the full education distribution, not as categorical contrasts restricted to the lowest-educated group. If effects were concentrated exclusively at the deprivation end, one would not expect continuous linear associations to reach significance in these full-range samples; their presence is more consistent with a gradient account, though the linear model does not preclude additional non-linearity at the lower tail. Second, Ozernov-Palchik et al. (2019) explicitly controlled for household income when modelling the education–white matter association (</w:t>
      </w:r>
      <w:r>
        <w:rPr>
          <w:rFonts w:ascii="Times New Roman" w:hAnsi="Times New Roman"/>
          <w:b w:val="0"/>
          <w:i/>
          <w:sz w:val="24"/>
        </w:rPr>
        <w:t>r</w:t>
      </w:r>
      <w:r>
        <w:rPr>
          <w:rFonts w:ascii="Times New Roman" w:hAnsi="Times New Roman"/>
          <w:b w:val="0"/>
          <w:i w:val="0"/>
          <w:sz w:val="24"/>
        </w:rPr>
        <w:t xml:space="preserve"> = 0.33 after income control), and the effect persisted across the full range. Pure deprivation threshold accounts predict that effects diminish sharply or disappear once income is controlled, because it is material deprivation rather than education per se that drives neural compromise; the persistence of the education signal across the distribution is more consistent with a gradient mechanism operating via language input quality at every education level. Third, the DTI findings in Turesky et al. (2022)—detected in infants from a sample not restricted to low-SES families—similarly suggest that education-related differences in arcuate fasciculus development are not confined to an extreme lower tail. Taken together, these observations are consistent with a gradient interpretation, while acknowledging that none of the studies was designed to test this question directly.</w:t>
      </w:r>
    </w:p>
    <w:p>
      <w:pPr>
        <w:jc w:val="left"/>
        <w:spacing w:before="0" w:after="120" w:line="480" w:lineRule="auto"/>
      </w:pPr>
      <w:r>
        <w:rPr>
          <w:rFonts w:ascii="Times New Roman" w:hAnsi="Times New Roman"/>
          <w:b w:val="0"/>
          <w:i w:val="0"/>
          <w:sz w:val="24"/>
        </w:rPr>
        <w:t>Resolving the gradient versus threshold question definitively will require studies that either deliberately oversample the lower end of the education distribution to increase statistical power to detect threshold effects, or that explicitly model polynomial or spline terms in the education–brain relationship in large full-range samples. This represents a critical design priority for future neuroimaging research, given the distinct policy implications of the two models: a gradient implies that interventions at every level of disadvantage may yield neural benefits, whereas a threshold model prioritises resources for the most deprived families.</w:t>
      </w:r>
    </w:p>
    <w:p>
      <w:pPr>
        <w:pStyle w:val="Heading2"/>
        <w:spacing w:before="200" w:after="40" w:line="360" w:lineRule="auto"/>
      </w:pPr>
      <w:r>
        <w:rPr>
          <w:rFonts w:ascii="Times New Roman" w:hAnsi="Times New Roman"/>
          <w:b/>
          <w:sz w:val="26"/>
        </w:rPr>
        <w:t>4.5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4.6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14 of 16 studies relied primarily on maternal education; only two studies used highest-parental or combined-parental measures.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Conclusions should therefore be read primarily as reflecting associations with maternal educational attainment.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10 countries,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form of selection bias that is distinct from publication bias. Studies in which parental education showed no independent association with neural outcomes are more likely to have operationalized education as part of a composite index without a separately reported coefficient—and thus be excluded under the E2 criterion. The 94% positive rate observed in this review may therefore partly reflect the structure of the inclusion criterion rather than solely the biological reality. This does not invalidate the findings, but readers should interpret the directional consistency with awareness that the reviewed evidence base is necessarily drawn from studies in which an independent education signal was sufficiently present to be modeled and reported.</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Branigan et al., 2013).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pStyle w:val="Heading2"/>
        <w:spacing w:before="200" w:after="40" w:line="360" w:lineRule="auto"/>
      </w:pPr>
      <w:r>
        <w:rPr>
          <w:rFonts w:ascii="Times New Roman" w:hAnsi="Times New Roman"/>
          <w:b/>
          <w:sz w:val="26"/>
        </w:rPr>
        <w:t>4.7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detectable from birth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 https://doi.org/10.1002/wcs.1185</w:t>
      </w:r>
    </w:p>
    <w:p>
      <w:pPr>
        <w:jc w:val="left"/>
        <w:spacing w:before="0" w:after="120" w:line="480" w:lineRule="auto"/>
      </w:pPr>
      <w:r>
        <w:rPr>
          <w:rFonts w:ascii="Times New Roman" w:hAnsi="Times New Roman"/>
          <w:b w:val="0"/>
          <w:i w:val="0"/>
          <w:sz w:val="24"/>
        </w:rPr>
        <w:t xml:space="preserve">Branigan, A. R., McCallum, K. J., &amp; Freese, J. (2013). Variation in the heritability of educational attainment: An international meta-analysis. </w:t>
      </w:r>
      <w:r>
        <w:rPr>
          <w:rFonts w:ascii="Times New Roman" w:hAnsi="Times New Roman"/>
          <w:b w:val="0"/>
          <w:i/>
          <w:sz w:val="24"/>
        </w:rPr>
        <w:t>Social Forces</w:t>
      </w:r>
      <w:r>
        <w:rPr>
          <w:rFonts w:ascii="Times New Roman" w:hAnsi="Times New Roman"/>
          <w:b w:val="0"/>
          <w:i w:val="0"/>
          <w:sz w:val="24"/>
        </w:rPr>
        <w:t xml:space="preserve">, </w:t>
      </w:r>
      <w:r>
        <w:rPr>
          <w:rFonts w:ascii="Times New Roman" w:hAnsi="Times New Roman"/>
          <w:b w:val="0"/>
          <w:i/>
          <w:sz w:val="24"/>
        </w:rPr>
        <w:t>92</w:t>
      </w:r>
      <w:r>
        <w:rPr>
          <w:rFonts w:ascii="Times New Roman" w:hAnsi="Times New Roman"/>
          <w:b w:val="0"/>
          <w:i w:val="0"/>
          <w:sz w:val="24"/>
        </w:rPr>
        <w:t>(1), 109–140. https://doi.org/10.1093/sf/sot076</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 https://doi.org/10.1038/nrn2844</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 https://doi.org/10.1037/a0030612</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 https://doi.org/10.1523/JNEUROSCI.3479-08.2008</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 https://doi.org/10.1111/j.1749-6632.2009.05437.x</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 https://doi.org/10.1038/nn.3983</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 https://doi.org/10.1007/s11065-010-9148-4</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Friederici, A. D. (2012). Language development and the ontogeny of the dorsal pathway. </w:t>
      </w:r>
      <w:r>
        <w:rPr>
          <w:rFonts w:ascii="Times New Roman" w:hAnsi="Times New Roman"/>
          <w:b w:val="0"/>
          <w:i/>
          <w:sz w:val="24"/>
        </w:rPr>
        <w:t>Frontiers in Evolutionary Neuroscience</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 Article 3. https://doi.org/10.3389/fnevo.2012.00003</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Shonkoff, J. P., Garner, A. S., The Committee on Psychosocial Aspects of Child and Family Health, The Committee on Early Childhood, Adoption, and Dependent Care, &amp; The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