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Background:</w:t>
      </w:r>
      <w:r>
        <w:rPr>
          <w:rFonts w:ascii="Times New Roman" w:hAnsi="Times New Roman"/>
          <w:b w:val="0"/>
          <w:i w:val="0"/>
          <w:sz w:val="24"/>
        </w:rPr>
        <w:t xml:space="preserve"> Parental education level is among the most consistently measured dimensions of socioeconomic status and a robust predictor of children's cognitive and language outcomes. However, a comprehensive synthesis of its neural correlates in early childhood is lacking.</w:t>
      </w:r>
    </w:p>
    <w:p>
      <w:pPr>
        <w:jc w:val="left"/>
        <w:spacing w:before="0" w:after="120" w:line="480" w:lineRule="auto"/>
      </w:pPr>
      <w:r>
        <w:rPr>
          <w:rFonts w:ascii="Times New Roman" w:hAnsi="Times New Roman"/>
          <w:b/>
          <w:i w:val="0"/>
          <w:sz w:val="24"/>
        </w:rPr>
        <w:t>Objective:</w:t>
      </w:r>
      <w:r>
        <w:rPr>
          <w:rFonts w:ascii="Times New Roman" w:hAnsi="Times New Roman"/>
          <w:b w:val="0"/>
          <w:i w:val="0"/>
          <w:sz w:val="24"/>
        </w:rPr>
        <w:t xml:space="preserve"> To systematically review evidence on associations between parental education level and neural development in children aged 0–8 years across EEG, ERP, fNIRS, and neuroimaging modalities.</w:t>
      </w:r>
    </w:p>
    <w:p>
      <w:pPr>
        <w:jc w:val="left"/>
        <w:spacing w:before="0" w:after="120" w:line="480" w:lineRule="auto"/>
      </w:pPr>
      <w:r>
        <w:rPr>
          <w:rFonts w:ascii="Times New Roman" w:hAnsi="Times New Roman"/>
          <w:b/>
          <w:i w:val="0"/>
          <w:sz w:val="24"/>
        </w:rPr>
        <w:t>Methods:</w:t>
      </w:r>
      <w:r>
        <w:rPr>
          <w:rFonts w:ascii="Times New Roman" w:hAnsi="Times New Roman"/>
          <w:b w:val="0"/>
          <w:i w:val="0"/>
          <w:sz w:val="24"/>
        </w:rPr>
        <w:t xml:space="preserve"> We searched PubMed/MEDLINE, PsycINFO, Web of Science, and Scopus from inception to April 2026, following PRISMA 2020 guidelines. Studies were included if they reported an independently estimable association between parental education and at least one direct neural outcome measure in children aged 0–8 years. Study quality was assessed using the Newcastle–Ottawa Scale.</w:t>
      </w:r>
    </w:p>
    <w:p>
      <w:pPr>
        <w:jc w:val="left"/>
        <w:spacing w:before="0" w:after="120" w:line="480" w:lineRule="auto"/>
      </w:pPr>
      <w:r>
        <w:rPr>
          <w:rFonts w:ascii="Times New Roman" w:hAnsi="Times New Roman"/>
          <w:b/>
          <w:i w:val="0"/>
          <w:sz w:val="24"/>
        </w:rPr>
        <w:t>Results:</w:t>
      </w:r>
      <w:r>
        <w:rPr>
          <w:rFonts w:ascii="Times New Roman" w:hAnsi="Times New Roman"/>
          <w:b w:val="0"/>
          <w:i w:val="0"/>
          <w:sz w:val="24"/>
        </w:rPr>
        <w:t xml:space="preserve"> Sixteen studies (</w:t>
      </w:r>
      <w:r>
        <w:rPr>
          <w:rFonts w:ascii="Times New Roman" w:hAnsi="Times New Roman"/>
          <w:b w:val="0"/>
          <w:i/>
          <w:sz w:val="24"/>
        </w:rPr>
        <w:t>N</w:t>
      </w:r>
      <w:r>
        <w:rPr>
          <w:rFonts w:ascii="Times New Roman" w:hAnsi="Times New Roman"/>
          <w:b w:val="0"/>
          <w:i w:val="0"/>
          <w:sz w:val="24"/>
        </w:rPr>
        <w:t xml:space="preserve"> = 26–373; 10 countries or regions) met inclusion criteria. Across six neural modalities (resting-state EEG, ERP, fNIRS, fMRI, DTI, and structural MRI), 15 of 16 studies (94%) reported a positive association between higher parental education and more mature or stronger neural indices. Evidence was consistent across structural MRI (</w:t>
      </w:r>
      <w:r>
        <w:rPr>
          <w:rFonts w:ascii="Times New Roman" w:hAnsi="Times New Roman"/>
          <w:b w:val="0"/>
          <w:i/>
          <w:sz w:val="24"/>
        </w:rPr>
        <w:t>k</w:t>
      </w:r>
      <w:r>
        <w:rPr>
          <w:rFonts w:ascii="Times New Roman" w:hAnsi="Times New Roman"/>
          <w:b w:val="0"/>
          <w:i w:val="0"/>
          <w:sz w:val="24"/>
        </w:rPr>
        <w:t xml:space="preserve"> = 5), DTI (</w:t>
      </w:r>
      <w:r>
        <w:rPr>
          <w:rFonts w:ascii="Times New Roman" w:hAnsi="Times New Roman"/>
          <w:b w:val="0"/>
          <w:i/>
          <w:sz w:val="24"/>
        </w:rPr>
        <w:t>k</w:t>
      </w:r>
      <w:r>
        <w:rPr>
          <w:rFonts w:ascii="Times New Roman" w:hAnsi="Times New Roman"/>
          <w:b w:val="0"/>
          <w:i w:val="0"/>
          <w:sz w:val="24"/>
        </w:rPr>
        <w:t xml:space="preserve"> = 3), resting-state EEG (</w:t>
      </w:r>
      <w:r>
        <w:rPr>
          <w:rFonts w:ascii="Times New Roman" w:hAnsi="Times New Roman"/>
          <w:b w:val="0"/>
          <w:i/>
          <w:sz w:val="24"/>
        </w:rPr>
        <w:t>k</w:t>
      </w:r>
      <w:r>
        <w:rPr>
          <w:rFonts w:ascii="Times New Roman" w:hAnsi="Times New Roman"/>
          <w:b w:val="0"/>
          <w:i w:val="0"/>
          <w:sz w:val="24"/>
        </w:rPr>
        <w:t xml:space="preserve"> = 3), and fMRI (</w:t>
      </w:r>
      <w:r>
        <w:rPr>
          <w:rFonts w:ascii="Times New Roman" w:hAnsi="Times New Roman"/>
          <w:b w:val="0"/>
          <w:i/>
          <w:sz w:val="24"/>
        </w:rPr>
        <w:t>k</w:t>
      </w:r>
      <w:r>
        <w:rPr>
          <w:rFonts w:ascii="Times New Roman" w:hAnsi="Times New Roman"/>
          <w:b w:val="0"/>
          <w:i w:val="0"/>
          <w:sz w:val="24"/>
        </w:rPr>
        <w:t xml:space="preserve"> = 2). Three neonatal studies indicated that associations are detectable from birth. One study reported a negative pattern in the context of migration-related linguistic heterogeneity.</w:t>
      </w:r>
    </w:p>
    <w:p>
      <w:pPr>
        <w:jc w:val="left"/>
        <w:spacing w:before="0" w:after="120" w:line="480" w:lineRule="auto"/>
      </w:pPr>
      <w:r>
        <w:rPr>
          <w:rFonts w:ascii="Times New Roman" w:hAnsi="Times New Roman"/>
          <w:b/>
          <w:i w:val="0"/>
          <w:sz w:val="24"/>
        </w:rPr>
        <w:t>Conclusions:</w:t>
      </w:r>
      <w:r>
        <w:rPr>
          <w:rFonts w:ascii="Times New Roman" w:hAnsi="Times New Roman"/>
          <w:b w:val="0"/>
          <w:i w:val="0"/>
          <w:sz w:val="24"/>
        </w:rPr>
        <w:t xml:space="preserve"> Higher parental education is associated with more advanced neural development from birth through middle childhood, with convergent evidence across prefrontal, temporal, and fronto-temporal networks. Associations likely reflect cognitive stimulation and language-enriched home environments, with additional evidence for prenatal mechanisms. These findings underscore the importance of early home enrichment programmes for reducing socioeconomic disparities in neural development.</w:t>
      </w:r>
    </w:p>
    <w:p>
      <w:pPr>
        <w:jc w:val="left"/>
        <w:spacing w:before="0" w:after="120" w:line="480" w:lineRule="auto"/>
      </w:pPr>
      <w:r>
        <w:rPr>
          <w:rFonts w:ascii="Times New Roman" w:hAnsi="Times New Roman"/>
          <w:b/>
          <w:i w:val="0"/>
          <w:sz w:val="24"/>
        </w:rPr>
        <w:t>Keywords:</w:t>
      </w:r>
      <w:r>
        <w:rPr>
          <w:rFonts w:ascii="Times New Roman" w:hAnsi="Times New Roman"/>
          <w:b w:val="0"/>
          <w:i w:val="0"/>
          <w:sz w:val="24"/>
        </w:rPr>
        <w:t xml:space="preserve"> parental education; socioeconomic status; neural development; EEG; ERP; fNIRS; fMRI; DTI; systematic review; early childhood</w:t>
      </w:r>
    </w:p>
    <w:p>
      <w:pPr>
        <w:jc w:val="left"/>
        <w:spacing w:before="0" w:after="120" w:line="480" w:lineRule="auto"/>
      </w:pPr>
      <w:r>
        <w:rPr>
          <w:rFonts w:ascii="Times New Roman" w:hAnsi="Times New Roman"/>
          <w:b/>
          <w:i w:val="0"/>
          <w:sz w:val="24"/>
        </w:rPr>
        <w:t>Keywords:</w:t>
      </w:r>
      <w:r>
        <w:rPr>
          <w:rFonts w:ascii="Times New Roman" w:hAnsi="Times New Roman"/>
          <w:b w:val="0"/>
          <w:i w:val="0"/>
          <w:sz w:val="24"/>
        </w:rPr>
        <w:t xml:space="preserve"> parental education; socioeconomic status; neural development; EEG; ERP; fNIRS; fMRI; DTI; systematic review; early childhood</w:t>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Among its components, parental education level offers particular advantages for research: it is measured with relatively low error, remains stable across a child's early years, and captures accumulated cognitive and cultural resources that shape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 xml:space="preserve">The socioeconomic gradient in brain structure and function has been documented in school-age and adolescent samples (Hair et al., 2015; Noble et al., 2015; Hackman et al., 2010). However, establishing </w:t>
      </w:r>
      <w:r>
        <w:rPr>
          <w:rFonts w:ascii="Times New Roman" w:hAnsi="Times New Roman"/>
          <w:b w:val="0"/>
          <w:i/>
          <w:sz w:val="24"/>
        </w:rPr>
        <w:t>when</w:t>
      </w:r>
      <w:r>
        <w:rPr>
          <w:rFonts w:ascii="Times New Roman" w:hAnsi="Times New Roman"/>
          <w:b w:val="0"/>
          <w:i w:val="0"/>
          <w:sz w:val="24"/>
        </w:rPr>
        <w:t xml:space="preserve"> in development parental education begins to shape neural outcomes is critical for understanding sensitive periods and for designing early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limitations of the existing literature are notable.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The present review addresses these gaps with three specific aims: (1) to identify studies reporting the independent association between parental education and neural measures in children aged 0–8 years; (2) to synthesize evidence across neural modalities and age windows; and (3) to evaluate candidate mechanisms—cognitive stimulation and chronic stress—supported by the included studies.</w:t>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in accordance with the Preferred Reporting Items for Systematic Reviews and Meta-Analyses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w:t>
      </w:r>
      <w:r>
        <w:rPr>
          <w:rFonts w:ascii="Times New Roman" w:hAnsi="Times New Roman"/>
          <w:b/>
          <w:i w:val="0"/>
          <w:sz w:val="24"/>
        </w:rPr>
        <w:t>16 studies</w:t>
      </w:r>
      <w:r>
        <w:rPr>
          <w:rFonts w:ascii="Times New Roman" w:hAnsi="Times New Roman"/>
          <w:b w:val="0"/>
          <w:i w:val="0"/>
          <w:sz w:val="24"/>
        </w:rPr>
        <w:t xml:space="preserve">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effect of parental education, (c) key statistical findings, and (d) relevant covariates controlled.</w:t>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systematic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 combined sample of approximately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b/>
                <w:i w:val="0"/>
                <w:sz w:val="20"/>
              </w:rPr>
              <w:t>Study</w:t>
            </w:r>
          </w:p>
        </w:tc>
        <w:tc>
          <w:tcPr>
            <w:tcW w:type="dxa" w:w="1040"/>
          </w:tcPr>
          <w:p>
            <w:pPr>
              <w:spacing w:before="0" w:after="0" w:line="276" w:lineRule="auto"/>
            </w:pPr>
            <w:r>
              <w:rPr>
                <w:rFonts w:ascii="Times New Roman" w:hAnsi="Times New Roman"/>
                <w:b/>
                <w:i w:val="0"/>
                <w:sz w:val="20"/>
              </w:rPr>
              <w:t>Country</w:t>
            </w:r>
          </w:p>
        </w:tc>
        <w:tc>
          <w:tcPr>
            <w:tcW w:type="dxa" w:w="1040"/>
          </w:tcPr>
          <w:p>
            <w:pPr>
              <w:spacing w:before="0" w:after="0" w:line="276" w:lineRule="auto"/>
            </w:pPr>
            <w:r>
              <w:rPr>
                <w:rFonts w:ascii="Times New Roman" w:hAnsi="Times New Roman"/>
                <w:b w:val="0"/>
                <w:i/>
                <w:sz w:val="20"/>
              </w:rPr>
              <w:t>N</w:t>
            </w:r>
          </w:p>
        </w:tc>
        <w:tc>
          <w:tcPr>
            <w:tcW w:type="dxa" w:w="1040"/>
          </w:tcPr>
          <w:p>
            <w:pPr>
              <w:spacing w:before="0" w:after="0" w:line="276" w:lineRule="auto"/>
            </w:pPr>
            <w:r>
              <w:rPr>
                <w:rFonts w:ascii="Times New Roman" w:hAnsi="Times New Roman"/>
                <w:b/>
                <w:i w:val="0"/>
                <w:sz w:val="20"/>
              </w:rPr>
              <w:t>Age at measure</w:t>
            </w:r>
          </w:p>
        </w:tc>
        <w:tc>
          <w:tcPr>
            <w:tcW w:type="dxa" w:w="1040"/>
          </w:tcPr>
          <w:p>
            <w:pPr>
              <w:spacing w:before="0" w:after="0" w:line="276" w:lineRule="auto"/>
            </w:pPr>
            <w:r>
              <w:rPr>
                <w:rFonts w:ascii="Times New Roman" w:hAnsi="Times New Roman"/>
                <w:b/>
                <w:i w:val="0"/>
                <w:sz w:val="20"/>
              </w:rPr>
              <w:t>Design</w:t>
            </w:r>
          </w:p>
        </w:tc>
        <w:tc>
          <w:tcPr>
            <w:tcW w:type="dxa" w:w="1040"/>
          </w:tcPr>
          <w:p>
            <w:pPr>
              <w:spacing w:before="0" w:after="0" w:line="276" w:lineRule="auto"/>
            </w:pPr>
            <w:r>
              <w:rPr>
                <w:rFonts w:ascii="Times New Roman" w:hAnsi="Times New Roman"/>
                <w:b/>
                <w:i w:val="0"/>
                <w:sz w:val="20"/>
              </w:rPr>
              <w:t>Modality</w:t>
            </w:r>
          </w:p>
        </w:tc>
        <w:tc>
          <w:tcPr>
            <w:tcW w:type="dxa" w:w="1040"/>
          </w:tcPr>
          <w:p>
            <w:pPr>
              <w:spacing w:before="0" w:after="0" w:line="276" w:lineRule="auto"/>
            </w:pPr>
            <w:r>
              <w:rPr>
                <w:rFonts w:ascii="Times New Roman" w:hAnsi="Times New Roman"/>
                <w:b/>
                <w:i w:val="0"/>
                <w:sz w:val="20"/>
              </w:rPr>
              <w:t>Education operationalization</w:t>
            </w:r>
          </w:p>
        </w:tc>
        <w:tc>
          <w:tcPr>
            <w:tcW w:type="dxa" w:w="1040"/>
          </w:tcPr>
          <w:p>
            <w:pPr>
              <w:spacing w:before="0" w:after="0" w:line="276" w:lineRule="auto"/>
            </w:pPr>
            <w:r>
              <w:rPr>
                <w:rFonts w:ascii="Times New Roman" w:hAnsi="Times New Roman"/>
                <w:b/>
                <w:i w:val="0"/>
                <w:sz w:val="20"/>
              </w:rPr>
              <w:t>Effect direction</w:t>
            </w:r>
          </w:p>
        </w:tc>
        <w:tc>
          <w:tcPr>
            <w:tcW w:type="dxa" w:w="1040"/>
          </w:tcPr>
          <w:p>
            <w:pPr>
              <w:spacing w:before="0" w:after="0" w:line="276" w:lineRule="auto"/>
            </w:pPr>
            <w:r>
              <w:rPr>
                <w:rFonts w:ascii="Times New Roman" w:hAnsi="Times New Roman"/>
                <w:b/>
                <w:i w:val="0"/>
                <w:sz w:val="20"/>
              </w:rPr>
              <w:t>NOS</w:t>
            </w:r>
          </w:p>
        </w:tc>
      </w:tr>
      <w:tr>
        <w:tc>
          <w:tcPr>
            <w:tcW w:type="dxa" w:w="1040"/>
          </w:tcPr>
          <w:p>
            <w:pPr>
              <w:spacing w:before="0" w:after="0" w:line="276" w:lineRule="auto"/>
            </w:pPr>
            <w:r>
              <w:rPr>
                <w:rFonts w:ascii="Times New Roman" w:hAnsi="Times New Roman"/>
                <w:b w:val="0"/>
                <w:i w:val="0"/>
                <w:sz w:val="20"/>
              </w:rPr>
              <w:t>Wienke et al. (2024)</w:t>
            </w:r>
          </w:p>
        </w:tc>
        <w:tc>
          <w:tcPr>
            <w:tcW w:type="dxa" w:w="1040"/>
          </w:tcPr>
          <w:p>
            <w:pPr>
              <w:spacing w:before="0" w:after="0" w:line="276" w:lineRule="auto"/>
            </w:pPr>
            <w:r>
              <w:rPr>
                <w:rFonts w:ascii="Times New Roman" w:hAnsi="Times New Roman"/>
                <w:b w:val="0"/>
                <w:i w:val="0"/>
                <w:sz w:val="20"/>
              </w:rPr>
              <w:t>Germany</w:t>
            </w:r>
          </w:p>
        </w:tc>
        <w:tc>
          <w:tcPr>
            <w:tcW w:type="dxa" w:w="1040"/>
          </w:tcPr>
          <w:p>
            <w:pPr>
              <w:spacing w:before="0" w:after="0" w:line="276" w:lineRule="auto"/>
            </w:pPr>
            <w:r>
              <w:rPr>
                <w:rFonts w:ascii="Times New Roman" w:hAnsi="Times New Roman"/>
                <w:b w:val="0"/>
                <w:i w:val="0"/>
                <w:sz w:val="20"/>
              </w:rPr>
              <w:t>255</w:t>
            </w:r>
          </w:p>
        </w:tc>
        <w:tc>
          <w:tcPr>
            <w:tcW w:type="dxa" w:w="1040"/>
          </w:tcPr>
          <w:p>
            <w:pPr>
              <w:spacing w:before="0" w:after="0" w:line="276" w:lineRule="auto"/>
            </w:pPr>
            <w:r>
              <w:rPr>
                <w:rFonts w:ascii="Times New Roman" w:hAnsi="Times New Roman"/>
                <w:b w:val="0"/>
                <w:i w:val="0"/>
                <w:sz w:val="20"/>
              </w:rPr>
              <w:t>6–14 months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ERP</w:t>
            </w:r>
          </w:p>
        </w:tc>
        <w:tc>
          <w:tcPr>
            <w:tcW w:type="dxa" w:w="1040"/>
          </w:tcPr>
          <w:p>
            <w:pPr>
              <w:spacing w:before="0" w:after="0" w:line="276" w:lineRule="auto"/>
            </w:pPr>
            <w:r>
              <w:rPr>
                <w:rFonts w:ascii="Times New Roman" w:hAnsi="Times New Roman"/>
                <w:b w:val="0"/>
                <w:i w:val="0"/>
                <w:sz w:val="20"/>
              </w:rPr>
              <w:t>Maternal education (years); composite-separable</w:t>
            </w:r>
          </w:p>
        </w:tc>
        <w:tc>
          <w:tcPr>
            <w:tcW w:type="dxa" w:w="1040"/>
          </w:tcPr>
          <w:p>
            <w:pPr>
              <w:spacing w:before="0" w:after="0" w:line="276" w:lineRule="auto"/>
            </w:pPr>
            <w:r>
              <w:rPr>
                <w:rFonts w:ascii="Times New Roman" w:hAnsi="Times New Roman"/>
                <w:b w:val="0"/>
                <w:i w:val="0"/>
                <w:sz w:val="20"/>
              </w:rPr>
              <w:t>Negative</w:t>
            </w:r>
          </w:p>
        </w:tc>
        <w:tc>
          <w:tcPr>
            <w:tcW w:type="dxa" w:w="1040"/>
          </w:tcPr>
          <w:p>
            <w:pPr>
              <w:spacing w:before="0" w:after="0" w:line="276" w:lineRule="auto"/>
            </w:pPr>
            <w:r>
              <w:rPr>
                <w:rFonts w:ascii="Times New Roman" w:hAnsi="Times New Roman"/>
                <w:b w:val="0"/>
                <w:i w:val="0"/>
                <w:sz w:val="20"/>
              </w:rPr>
              <w:t>6</w:t>
            </w:r>
          </w:p>
        </w:tc>
      </w:tr>
      <w:tr>
        <w:tc>
          <w:tcPr>
            <w:tcW w:type="dxa" w:w="1040"/>
          </w:tcPr>
          <w:p>
            <w:pPr>
              <w:spacing w:before="0" w:after="0" w:line="276" w:lineRule="auto"/>
            </w:pPr>
            <w:r>
              <w:rPr>
                <w:rFonts w:ascii="Times New Roman" w:hAnsi="Times New Roman"/>
                <w:b w:val="0"/>
                <w:i w:val="0"/>
                <w:sz w:val="20"/>
              </w:rPr>
              <w:t>Wijeakumar et al. (2019)</w:t>
            </w:r>
          </w:p>
        </w:tc>
        <w:tc>
          <w:tcPr>
            <w:tcW w:type="dxa" w:w="1040"/>
          </w:tcPr>
          <w:p>
            <w:pPr>
              <w:spacing w:before="0" w:after="0" w:line="276" w:lineRule="auto"/>
            </w:pPr>
            <w:r>
              <w:rPr>
                <w:rFonts w:ascii="Times New Roman" w:hAnsi="Times New Roman"/>
                <w:b w:val="0"/>
                <w:i w:val="0"/>
                <w:sz w:val="20"/>
              </w:rPr>
              <w:t>India</w:t>
            </w:r>
          </w:p>
        </w:tc>
        <w:tc>
          <w:tcPr>
            <w:tcW w:type="dxa" w:w="1040"/>
          </w:tcPr>
          <w:p>
            <w:pPr>
              <w:spacing w:before="0" w:after="0" w:line="276" w:lineRule="auto"/>
            </w:pPr>
            <w:r>
              <w:rPr>
                <w:rFonts w:ascii="Times New Roman" w:hAnsi="Times New Roman"/>
                <w:b w:val="0"/>
                <w:i w:val="0"/>
                <w:sz w:val="20"/>
              </w:rPr>
              <w:t>35</w:t>
            </w:r>
          </w:p>
        </w:tc>
        <w:tc>
          <w:tcPr>
            <w:tcW w:type="dxa" w:w="1040"/>
          </w:tcPr>
          <w:p>
            <w:pPr>
              <w:spacing w:before="0" w:after="0" w:line="276" w:lineRule="auto"/>
            </w:pPr>
            <w:r>
              <w:rPr>
                <w:rFonts w:ascii="Times New Roman" w:hAnsi="Times New Roman"/>
                <w:b w:val="0"/>
                <w:i w:val="0"/>
                <w:sz w:val="20"/>
              </w:rPr>
              <w:t>5–8 years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fNIRS</w:t>
            </w:r>
          </w:p>
        </w:tc>
        <w:tc>
          <w:tcPr>
            <w:tcW w:type="dxa" w:w="1040"/>
          </w:tcPr>
          <w:p>
            <w:pPr>
              <w:spacing w:before="0" w:after="0" w:line="276" w:lineRule="auto"/>
            </w:pPr>
            <w:r>
              <w:rPr>
                <w:rFonts w:ascii="Times New Roman" w:hAnsi="Times New Roman"/>
                <w:b w:val="0"/>
                <w:i w:val="0"/>
                <w:sz w:val="20"/>
              </w:rPr>
              <w:t>Maternal education (categorical);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6</w:t>
            </w:r>
          </w:p>
        </w:tc>
      </w:tr>
      <w:tr>
        <w:tc>
          <w:tcPr>
            <w:tcW w:type="dxa" w:w="1040"/>
          </w:tcPr>
          <w:p>
            <w:pPr>
              <w:spacing w:before="0" w:after="0" w:line="276" w:lineRule="auto"/>
            </w:pPr>
            <w:r>
              <w:rPr>
                <w:rFonts w:ascii="Times New Roman" w:hAnsi="Times New Roman"/>
                <w:b w:val="0"/>
                <w:i w:val="0"/>
                <w:sz w:val="20"/>
              </w:rPr>
              <w:t>Stiver et al. (2015)</w:t>
            </w:r>
          </w:p>
        </w:tc>
        <w:tc>
          <w:tcPr>
            <w:tcW w:type="dxa" w:w="1040"/>
          </w:tcPr>
          <w:p>
            <w:pPr>
              <w:spacing w:before="0" w:after="0" w:line="276" w:lineRule="auto"/>
            </w:pPr>
            <w:r>
              <w:rPr>
                <w:rFonts w:ascii="Times New Roman" w:hAnsi="Times New Roman"/>
                <w:b w:val="0"/>
                <w:i w:val="0"/>
                <w:sz w:val="20"/>
              </w:rPr>
              <w:t>Canada</w:t>
            </w:r>
          </w:p>
        </w:tc>
        <w:tc>
          <w:tcPr>
            <w:tcW w:type="dxa" w:w="1040"/>
          </w:tcPr>
          <w:p>
            <w:pPr>
              <w:spacing w:before="0" w:after="0" w:line="276" w:lineRule="auto"/>
            </w:pPr>
            <w:r>
              <w:rPr>
                <w:rFonts w:ascii="Times New Roman" w:hAnsi="Times New Roman"/>
                <w:b w:val="0"/>
                <w:i w:val="0"/>
                <w:sz w:val="20"/>
              </w:rPr>
              <w:t>26</w:t>
            </w:r>
          </w:p>
        </w:tc>
        <w:tc>
          <w:tcPr>
            <w:tcW w:type="dxa" w:w="1040"/>
          </w:tcPr>
          <w:p>
            <w:pPr>
              <w:spacing w:before="0" w:after="0" w:line="276" w:lineRule="auto"/>
            </w:pPr>
            <w:r>
              <w:rPr>
                <w:rFonts w:ascii="Times New Roman" w:hAnsi="Times New Roman"/>
                <w:b w:val="0"/>
                <w:i w:val="0"/>
                <w:sz w:val="20"/>
              </w:rPr>
              <w:t>Term-equivalent age → 2 years corrected age (longitudinal)</w:t>
            </w:r>
          </w:p>
        </w:tc>
        <w:tc>
          <w:tcPr>
            <w:tcW w:type="dxa" w:w="1040"/>
          </w:tcPr>
          <w:p>
            <w:pPr>
              <w:spacing w:before="0" w:after="0" w:line="276" w:lineRule="auto"/>
            </w:pPr>
            <w:r>
              <w:rPr>
                <w:rFonts w:ascii="Times New Roman" w:hAnsi="Times New Roman"/>
                <w:b w:val="0"/>
                <w:i w:val="0"/>
                <w:sz w:val="20"/>
              </w:rPr>
              <w:t>Longitudinal</w:t>
            </w:r>
          </w:p>
        </w:tc>
        <w:tc>
          <w:tcPr>
            <w:tcW w:type="dxa" w:w="1040"/>
          </w:tcPr>
          <w:p>
            <w:pPr>
              <w:spacing w:before="0" w:after="0" w:line="276" w:lineRule="auto"/>
            </w:pPr>
            <w:r>
              <w:rPr>
                <w:rFonts w:ascii="Times New Roman" w:hAnsi="Times New Roman"/>
                <w:b w:val="0"/>
                <w:i w:val="0"/>
                <w:sz w:val="20"/>
              </w:rPr>
              <w:t>sMRI</w:t>
            </w:r>
          </w:p>
        </w:tc>
        <w:tc>
          <w:tcPr>
            <w:tcW w:type="dxa" w:w="1040"/>
          </w:tcPr>
          <w:p>
            <w:pPr>
              <w:spacing w:before="0" w:after="0" w:line="276" w:lineRule="auto"/>
            </w:pPr>
            <w:r>
              <w:rPr>
                <w:rFonts w:ascii="Times New Roman" w:hAnsi="Times New Roman"/>
                <w:b w:val="0"/>
                <w:i w:val="0"/>
                <w:sz w:val="20"/>
              </w:rPr>
              <w:t>Parental education (categorical);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8</w:t>
            </w:r>
          </w:p>
        </w:tc>
      </w:tr>
      <w:tr>
        <w:tc>
          <w:tcPr>
            <w:tcW w:type="dxa" w:w="1040"/>
          </w:tcPr>
          <w:p>
            <w:pPr>
              <w:spacing w:before="0" w:after="0" w:line="276" w:lineRule="auto"/>
            </w:pPr>
            <w:r>
              <w:rPr>
                <w:rFonts w:ascii="Times New Roman" w:hAnsi="Times New Roman"/>
                <w:b w:val="0"/>
                <w:i w:val="0"/>
                <w:sz w:val="20"/>
              </w:rPr>
              <w:t>Brito &amp; Noble (2020)</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179</w:t>
            </w:r>
          </w:p>
        </w:tc>
        <w:tc>
          <w:tcPr>
            <w:tcW w:type="dxa" w:w="1040"/>
          </w:tcPr>
          <w:p>
            <w:pPr>
              <w:spacing w:before="0" w:after="0" w:line="276" w:lineRule="auto"/>
            </w:pPr>
            <w:r>
              <w:rPr>
                <w:rFonts w:ascii="Times New Roman" w:hAnsi="Times New Roman"/>
                <w:b w:val="0"/>
                <w:i w:val="0"/>
                <w:sz w:val="20"/>
              </w:rPr>
              <w:t>6–12 months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rsEEG</w:t>
            </w:r>
          </w:p>
        </w:tc>
        <w:tc>
          <w:tcPr>
            <w:tcW w:type="dxa" w:w="1040"/>
          </w:tcPr>
          <w:p>
            <w:pPr>
              <w:spacing w:before="0" w:after="0" w:line="276" w:lineRule="auto"/>
            </w:pPr>
            <w:r>
              <w:rPr>
                <w:rFonts w:ascii="Times New Roman" w:hAnsi="Times New Roman"/>
                <w:b w:val="0"/>
                <w:i w:val="0"/>
                <w:sz w:val="20"/>
              </w:rPr>
              <w:t>Parental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6</w:t>
            </w:r>
          </w:p>
        </w:tc>
      </w:tr>
      <w:tr>
        <w:tc>
          <w:tcPr>
            <w:tcW w:type="dxa" w:w="1040"/>
          </w:tcPr>
          <w:p>
            <w:pPr>
              <w:spacing w:before="0" w:after="0" w:line="276" w:lineRule="auto"/>
            </w:pPr>
            <w:r>
              <w:rPr>
                <w:rFonts w:ascii="Times New Roman" w:hAnsi="Times New Roman"/>
                <w:b w:val="0"/>
                <w:i w:val="0"/>
                <w:sz w:val="20"/>
              </w:rPr>
              <w:t>McKinnon et al. (2023)</w:t>
            </w:r>
          </w:p>
        </w:tc>
        <w:tc>
          <w:tcPr>
            <w:tcW w:type="dxa" w:w="1040"/>
          </w:tcPr>
          <w:p>
            <w:pPr>
              <w:spacing w:before="0" w:after="0" w:line="276" w:lineRule="auto"/>
            </w:pPr>
            <w:r>
              <w:rPr>
                <w:rFonts w:ascii="Times New Roman" w:hAnsi="Times New Roman"/>
                <w:b w:val="0"/>
                <w:i w:val="0"/>
                <w:sz w:val="20"/>
              </w:rPr>
              <w:t>UK</w:t>
            </w:r>
          </w:p>
        </w:tc>
        <w:tc>
          <w:tcPr>
            <w:tcW w:type="dxa" w:w="1040"/>
          </w:tcPr>
          <w:p>
            <w:pPr>
              <w:spacing w:before="0" w:after="0" w:line="276" w:lineRule="auto"/>
            </w:pPr>
            <w:r>
              <w:rPr>
                <w:rFonts w:ascii="Times New Roman" w:hAnsi="Times New Roman"/>
                <w:b w:val="0"/>
                <w:i w:val="0"/>
                <w:sz w:val="20"/>
              </w:rPr>
              <w:t>261</w:t>
            </w:r>
          </w:p>
        </w:tc>
        <w:tc>
          <w:tcPr>
            <w:tcW w:type="dxa" w:w="1040"/>
          </w:tcPr>
          <w:p>
            <w:pPr>
              <w:spacing w:before="0" w:after="0" w:line="276" w:lineRule="auto"/>
            </w:pPr>
            <w:r>
              <w:rPr>
                <w:rFonts w:ascii="Times New Roman" w:hAnsi="Times New Roman"/>
                <w:b w:val="0"/>
                <w:i w:val="0"/>
                <w:sz w:val="20"/>
              </w:rPr>
              <w:t>Neonatal</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sMRI</w:t>
            </w:r>
          </w:p>
        </w:tc>
        <w:tc>
          <w:tcPr>
            <w:tcW w:type="dxa" w:w="1040"/>
          </w:tcPr>
          <w:p>
            <w:pPr>
              <w:spacing w:before="0" w:after="0" w:line="276" w:lineRule="auto"/>
            </w:pPr>
            <w:r>
              <w:rPr>
                <w:rFonts w:ascii="Times New Roman" w:hAnsi="Times New Roman"/>
                <w:b w:val="0"/>
                <w:i w:val="0"/>
                <w:sz w:val="20"/>
              </w:rPr>
              <w:t>Maternal education (categorical);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9</w:t>
            </w:r>
          </w:p>
        </w:tc>
      </w:tr>
      <w:tr>
        <w:tc>
          <w:tcPr>
            <w:tcW w:type="dxa" w:w="1040"/>
          </w:tcPr>
          <w:p>
            <w:pPr>
              <w:spacing w:before="0" w:after="0" w:line="276" w:lineRule="auto"/>
            </w:pPr>
            <w:r>
              <w:rPr>
                <w:rFonts w:ascii="Times New Roman" w:hAnsi="Times New Roman"/>
                <w:b w:val="0"/>
                <w:i w:val="0"/>
                <w:sz w:val="20"/>
              </w:rPr>
              <w:t>Zhu et al. (2023)</w:t>
            </w:r>
          </w:p>
        </w:tc>
        <w:tc>
          <w:tcPr>
            <w:tcW w:type="dxa" w:w="1040"/>
          </w:tcPr>
          <w:p>
            <w:pPr>
              <w:spacing w:before="0" w:after="0" w:line="276" w:lineRule="auto"/>
            </w:pPr>
            <w:r>
              <w:rPr>
                <w:rFonts w:ascii="Times New Roman" w:hAnsi="Times New Roman"/>
                <w:b w:val="0"/>
                <w:i w:val="0"/>
                <w:sz w:val="20"/>
              </w:rPr>
              <w:t>USA/UK/Norway</w:t>
            </w:r>
          </w:p>
        </w:tc>
        <w:tc>
          <w:tcPr>
            <w:tcW w:type="dxa" w:w="1040"/>
          </w:tcPr>
          <w:p>
            <w:pPr>
              <w:spacing w:before="0" w:after="0" w:line="276" w:lineRule="auto"/>
            </w:pPr>
            <w:r>
              <w:rPr>
                <w:rFonts w:ascii="Times New Roman" w:hAnsi="Times New Roman"/>
                <w:b w:val="0"/>
                <w:i w:val="0"/>
                <w:sz w:val="20"/>
              </w:rPr>
              <w:t>373</w:t>
            </w:r>
          </w:p>
        </w:tc>
        <w:tc>
          <w:tcPr>
            <w:tcW w:type="dxa" w:w="1040"/>
          </w:tcPr>
          <w:p>
            <w:pPr>
              <w:spacing w:before="0" w:after="0" w:line="276" w:lineRule="auto"/>
            </w:pPr>
            <w:r>
              <w:rPr>
                <w:rFonts w:ascii="Times New Roman" w:hAnsi="Times New Roman"/>
                <w:b w:val="0"/>
                <w:i w:val="0"/>
                <w:sz w:val="20"/>
              </w:rPr>
              <w:t>Birth–8 years</w:t>
            </w:r>
          </w:p>
        </w:tc>
        <w:tc>
          <w:tcPr>
            <w:tcW w:type="dxa" w:w="1040"/>
          </w:tcPr>
          <w:p>
            <w:pPr>
              <w:spacing w:before="0" w:after="0" w:line="276" w:lineRule="auto"/>
            </w:pPr>
            <w:r>
              <w:rPr>
                <w:rFonts w:ascii="Times New Roman" w:hAnsi="Times New Roman"/>
                <w:b w:val="0"/>
                <w:i w:val="0"/>
                <w:sz w:val="20"/>
              </w:rPr>
              <w:t>Longitudinal</w:t>
            </w:r>
          </w:p>
        </w:tc>
        <w:tc>
          <w:tcPr>
            <w:tcW w:type="dxa" w:w="1040"/>
          </w:tcPr>
          <w:p>
            <w:pPr>
              <w:spacing w:before="0" w:after="0" w:line="276" w:lineRule="auto"/>
            </w:pPr>
            <w:r>
              <w:rPr>
                <w:rFonts w:ascii="Times New Roman" w:hAnsi="Times New Roman"/>
                <w:b w:val="0"/>
                <w:i w:val="0"/>
                <w:sz w:val="20"/>
              </w:rPr>
              <w:t>sMRI</w:t>
            </w:r>
          </w:p>
        </w:tc>
        <w:tc>
          <w:tcPr>
            <w:tcW w:type="dxa" w:w="1040"/>
          </w:tcPr>
          <w:p>
            <w:pPr>
              <w:spacing w:before="0" w:after="0" w:line="276" w:lineRule="auto"/>
            </w:pPr>
            <w:r>
              <w:rPr>
                <w:rFonts w:ascii="Times New Roman" w:hAnsi="Times New Roman"/>
                <w:b w:val="0"/>
                <w:i w:val="0"/>
                <w:sz w:val="20"/>
              </w:rPr>
              <w:t>Parental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Konrad et al. (2024)</w:t>
            </w:r>
          </w:p>
        </w:tc>
        <w:tc>
          <w:tcPr>
            <w:tcW w:type="dxa" w:w="1040"/>
          </w:tcPr>
          <w:p>
            <w:pPr>
              <w:spacing w:before="0" w:after="0" w:line="276" w:lineRule="auto"/>
            </w:pPr>
            <w:r>
              <w:rPr>
                <w:rFonts w:ascii="Times New Roman" w:hAnsi="Times New Roman"/>
                <w:b w:val="0"/>
                <w:i w:val="0"/>
                <w:sz w:val="20"/>
              </w:rPr>
              <w:t>Canada/Germany</w:t>
            </w:r>
          </w:p>
        </w:tc>
        <w:tc>
          <w:tcPr>
            <w:tcW w:type="dxa" w:w="1040"/>
          </w:tcPr>
          <w:p>
            <w:pPr>
              <w:spacing w:before="0" w:after="0" w:line="276" w:lineRule="auto"/>
            </w:pPr>
            <w:r>
              <w:rPr>
                <w:rFonts w:ascii="Times New Roman" w:hAnsi="Times New Roman"/>
                <w:b w:val="0"/>
                <w:i w:val="0"/>
                <w:sz w:val="20"/>
              </w:rPr>
              <w:t>105</w:t>
            </w:r>
          </w:p>
        </w:tc>
        <w:tc>
          <w:tcPr>
            <w:tcW w:type="dxa" w:w="1040"/>
          </w:tcPr>
          <w:p>
            <w:pPr>
              <w:spacing w:before="0" w:after="0" w:line="276" w:lineRule="auto"/>
            </w:pPr>
            <w:r>
              <w:rPr>
                <w:rFonts w:ascii="Times New Roman" w:hAnsi="Times New Roman"/>
                <w:b w:val="0"/>
                <w:i w:val="0"/>
                <w:sz w:val="20"/>
              </w:rPr>
              <w:t>Neonatal</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sMRI</w:t>
            </w:r>
          </w:p>
        </w:tc>
        <w:tc>
          <w:tcPr>
            <w:tcW w:type="dxa" w:w="1040"/>
          </w:tcPr>
          <w:p>
            <w:pPr>
              <w:spacing w:before="0" w:after="0" w:line="276" w:lineRule="auto"/>
            </w:pPr>
            <w:r>
              <w:rPr>
                <w:rFonts w:ascii="Times New Roman" w:hAnsi="Times New Roman"/>
                <w:b w:val="0"/>
                <w:i w:val="0"/>
                <w:sz w:val="20"/>
              </w:rPr>
              <w:t>Maternal education (years);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Demir-Lira et al. (2021)</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42</w:t>
            </w:r>
          </w:p>
        </w:tc>
        <w:tc>
          <w:tcPr>
            <w:tcW w:type="dxa" w:w="1040"/>
          </w:tcPr>
          <w:p>
            <w:pPr>
              <w:spacing w:before="0" w:after="0" w:line="276" w:lineRule="auto"/>
            </w:pPr>
            <w:r>
              <w:rPr>
                <w:rFonts w:ascii="Times New Roman" w:hAnsi="Times New Roman"/>
                <w:b w:val="0"/>
                <w:i w:val="0"/>
                <w:sz w:val="20"/>
              </w:rPr>
              <w:t>6–13 years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fMRI</w:t>
            </w:r>
          </w:p>
        </w:tc>
        <w:tc>
          <w:tcPr>
            <w:tcW w:type="dxa" w:w="1040"/>
          </w:tcPr>
          <w:p>
            <w:pPr>
              <w:spacing w:before="0" w:after="0" w:line="276" w:lineRule="auto"/>
            </w:pPr>
            <w:r>
              <w:rPr>
                <w:rFonts w:ascii="Times New Roman" w:hAnsi="Times New Roman"/>
                <w:b w:val="0"/>
                <w:i w:val="0"/>
                <w:sz w:val="20"/>
              </w:rPr>
              <w:t>Parental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Ramphal et al. (2020)</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112</w:t>
            </w:r>
          </w:p>
        </w:tc>
        <w:tc>
          <w:tcPr>
            <w:tcW w:type="dxa" w:w="1040"/>
          </w:tcPr>
          <w:p>
            <w:pPr>
              <w:spacing w:before="0" w:after="0" w:line="276" w:lineRule="auto"/>
            </w:pPr>
            <w:r>
              <w:rPr>
                <w:rFonts w:ascii="Times New Roman" w:hAnsi="Times New Roman"/>
                <w:b w:val="0"/>
                <w:i w:val="0"/>
                <w:sz w:val="20"/>
              </w:rPr>
              <w:t>Neonatal → 2 years</w:t>
            </w:r>
          </w:p>
        </w:tc>
        <w:tc>
          <w:tcPr>
            <w:tcW w:type="dxa" w:w="1040"/>
          </w:tcPr>
          <w:p>
            <w:pPr>
              <w:spacing w:before="0" w:after="0" w:line="276" w:lineRule="auto"/>
            </w:pPr>
            <w:r>
              <w:rPr>
                <w:rFonts w:ascii="Times New Roman" w:hAnsi="Times New Roman"/>
                <w:b w:val="0"/>
                <w:i w:val="0"/>
                <w:sz w:val="20"/>
              </w:rPr>
              <w:t>Longitudinal</w:t>
            </w:r>
          </w:p>
        </w:tc>
        <w:tc>
          <w:tcPr>
            <w:tcW w:type="dxa" w:w="1040"/>
          </w:tcPr>
          <w:p>
            <w:pPr>
              <w:spacing w:before="0" w:after="0" w:line="276" w:lineRule="auto"/>
            </w:pPr>
            <w:r>
              <w:rPr>
                <w:rFonts w:ascii="Times New Roman" w:hAnsi="Times New Roman"/>
                <w:b w:val="0"/>
                <w:i w:val="0"/>
                <w:sz w:val="20"/>
              </w:rPr>
              <w:t>fMRI</w:t>
            </w:r>
          </w:p>
        </w:tc>
        <w:tc>
          <w:tcPr>
            <w:tcW w:type="dxa" w:w="1040"/>
          </w:tcPr>
          <w:p>
            <w:pPr>
              <w:spacing w:before="0" w:after="0" w:line="276" w:lineRule="auto"/>
            </w:pPr>
            <w:r>
              <w:rPr>
                <w:rFonts w:ascii="Times New Roman" w:hAnsi="Times New Roman"/>
                <w:b w:val="0"/>
                <w:i w:val="0"/>
                <w:sz w:val="20"/>
              </w:rPr>
              <w:t>Parental education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8</w:t>
            </w:r>
          </w:p>
        </w:tc>
      </w:tr>
      <w:tr>
        <w:tc>
          <w:tcPr>
            <w:tcW w:type="dxa" w:w="1040"/>
          </w:tcPr>
          <w:p>
            <w:pPr>
              <w:spacing w:before="0" w:after="0" w:line="276" w:lineRule="auto"/>
            </w:pPr>
            <w:r>
              <w:rPr>
                <w:rFonts w:ascii="Times New Roman" w:hAnsi="Times New Roman"/>
                <w:b w:val="0"/>
                <w:i w:val="0"/>
                <w:sz w:val="20"/>
              </w:rPr>
              <w:t>Ozernov-Palchik et al. (2019)</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125</w:t>
            </w:r>
          </w:p>
        </w:tc>
        <w:tc>
          <w:tcPr>
            <w:tcW w:type="dxa" w:w="1040"/>
          </w:tcPr>
          <w:p>
            <w:pPr>
              <w:spacing w:before="0" w:after="0" w:line="276" w:lineRule="auto"/>
            </w:pPr>
            <w:r>
              <w:rPr>
                <w:rFonts w:ascii="Times New Roman" w:hAnsi="Times New Roman"/>
                <w:b w:val="0"/>
                <w:i w:val="0"/>
                <w:sz w:val="20"/>
              </w:rPr>
              <w:t>5–8 years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DTI</w:t>
            </w:r>
          </w:p>
        </w:tc>
        <w:tc>
          <w:tcPr>
            <w:tcW w:type="dxa" w:w="1040"/>
          </w:tcPr>
          <w:p>
            <w:pPr>
              <w:spacing w:before="0" w:after="0" w:line="276" w:lineRule="auto"/>
            </w:pPr>
            <w:r>
              <w:rPr>
                <w:rFonts w:ascii="Times New Roman" w:hAnsi="Times New Roman"/>
                <w:b w:val="0"/>
                <w:i w:val="0"/>
                <w:sz w:val="20"/>
              </w:rPr>
              <w:t>Parental education (years);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Turesky et al. (2022)</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38</w:t>
            </w:r>
          </w:p>
        </w:tc>
        <w:tc>
          <w:tcPr>
            <w:tcW w:type="dxa" w:w="1040"/>
          </w:tcPr>
          <w:p>
            <w:pPr>
              <w:spacing w:before="0" w:after="0" w:line="276" w:lineRule="auto"/>
            </w:pPr>
            <w:r>
              <w:rPr>
                <w:rFonts w:ascii="Times New Roman" w:hAnsi="Times New Roman"/>
                <w:b w:val="0"/>
                <w:i w:val="0"/>
                <w:sz w:val="20"/>
              </w:rPr>
              <w:t>~8.6 months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DTI</w:t>
            </w:r>
          </w:p>
        </w:tc>
        <w:tc>
          <w:tcPr>
            <w:tcW w:type="dxa" w:w="1040"/>
          </w:tcPr>
          <w:p>
            <w:pPr>
              <w:spacing w:before="0" w:after="0" w:line="276" w:lineRule="auto"/>
            </w:pPr>
            <w:r>
              <w:rPr>
                <w:rFonts w:ascii="Times New Roman" w:hAnsi="Times New Roman"/>
                <w:b w:val="0"/>
                <w:i w:val="0"/>
                <w:sz w:val="20"/>
              </w:rPr>
              <w:t>Maternal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Maguire &amp; Schneider (2019)</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90</w:t>
            </w:r>
          </w:p>
        </w:tc>
        <w:tc>
          <w:tcPr>
            <w:tcW w:type="dxa" w:w="1040"/>
          </w:tcPr>
          <w:p>
            <w:pPr>
              <w:spacing w:before="0" w:after="0" w:line="276" w:lineRule="auto"/>
            </w:pPr>
            <w:r>
              <w:rPr>
                <w:rFonts w:ascii="Times New Roman" w:hAnsi="Times New Roman"/>
                <w:b w:val="0"/>
                <w:i w:val="0"/>
                <w:sz w:val="20"/>
              </w:rPr>
              <w:t>8–15 years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rsEEG</w:t>
            </w:r>
          </w:p>
        </w:tc>
        <w:tc>
          <w:tcPr>
            <w:tcW w:type="dxa" w:w="1040"/>
          </w:tcPr>
          <w:p>
            <w:pPr>
              <w:spacing w:before="0" w:after="0" w:line="276" w:lineRule="auto"/>
            </w:pPr>
            <w:r>
              <w:rPr>
                <w:rFonts w:ascii="Times New Roman" w:hAnsi="Times New Roman"/>
                <w:b w:val="0"/>
                <w:i w:val="0"/>
                <w:sz w:val="20"/>
              </w:rPr>
              <w:t>Maternal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Shephard et al. (2019)</w:t>
            </w:r>
          </w:p>
        </w:tc>
        <w:tc>
          <w:tcPr>
            <w:tcW w:type="dxa" w:w="1040"/>
          </w:tcPr>
          <w:p>
            <w:pPr>
              <w:spacing w:before="0" w:after="0" w:line="276" w:lineRule="auto"/>
            </w:pPr>
            <w:r>
              <w:rPr>
                <w:rFonts w:ascii="Times New Roman" w:hAnsi="Times New Roman"/>
                <w:b w:val="0"/>
                <w:i w:val="0"/>
                <w:sz w:val="20"/>
              </w:rPr>
              <w:t>Brazil</w:t>
            </w:r>
          </w:p>
        </w:tc>
        <w:tc>
          <w:tcPr>
            <w:tcW w:type="dxa" w:w="1040"/>
          </w:tcPr>
          <w:p>
            <w:pPr>
              <w:spacing w:before="0" w:after="0" w:line="276" w:lineRule="auto"/>
            </w:pPr>
            <w:r>
              <w:rPr>
                <w:rFonts w:ascii="Times New Roman" w:hAnsi="Times New Roman"/>
                <w:b w:val="0"/>
                <w:i w:val="0"/>
                <w:sz w:val="20"/>
              </w:rPr>
              <w:t>31</w:t>
            </w:r>
          </w:p>
        </w:tc>
        <w:tc>
          <w:tcPr>
            <w:tcW w:type="dxa" w:w="1040"/>
          </w:tcPr>
          <w:p>
            <w:pPr>
              <w:spacing w:before="0" w:after="0" w:line="276" w:lineRule="auto"/>
            </w:pPr>
            <w:r>
              <w:rPr>
                <w:rFonts w:ascii="Times New Roman" w:hAnsi="Times New Roman"/>
                <w:b w:val="0"/>
                <w:i w:val="0"/>
                <w:sz w:val="20"/>
              </w:rPr>
              <w:t>6 months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rsEEG</w:t>
            </w:r>
          </w:p>
        </w:tc>
        <w:tc>
          <w:tcPr>
            <w:tcW w:type="dxa" w:w="1040"/>
          </w:tcPr>
          <w:p>
            <w:pPr>
              <w:spacing w:before="0" w:after="0" w:line="276" w:lineRule="auto"/>
            </w:pPr>
            <w:r>
              <w:rPr>
                <w:rFonts w:ascii="Times New Roman" w:hAnsi="Times New Roman"/>
                <w:b w:val="0"/>
                <w:i w:val="0"/>
                <w:sz w:val="20"/>
              </w:rPr>
              <w:t>Maternal education (categorical);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Conejero et al. (2018)</w:t>
            </w:r>
          </w:p>
        </w:tc>
        <w:tc>
          <w:tcPr>
            <w:tcW w:type="dxa" w:w="1040"/>
          </w:tcPr>
          <w:p>
            <w:pPr>
              <w:spacing w:before="0" w:after="0" w:line="276" w:lineRule="auto"/>
            </w:pPr>
            <w:r>
              <w:rPr>
                <w:rFonts w:ascii="Times New Roman" w:hAnsi="Times New Roman"/>
                <w:b w:val="0"/>
                <w:i w:val="0"/>
                <w:sz w:val="20"/>
              </w:rPr>
              <w:t>Spain</w:t>
            </w:r>
          </w:p>
        </w:tc>
        <w:tc>
          <w:tcPr>
            <w:tcW w:type="dxa" w:w="1040"/>
          </w:tcPr>
          <w:p>
            <w:pPr>
              <w:spacing w:before="0" w:after="0" w:line="276" w:lineRule="auto"/>
            </w:pPr>
            <w:r>
              <w:rPr>
                <w:rFonts w:ascii="Times New Roman" w:hAnsi="Times New Roman"/>
                <w:b w:val="0"/>
                <w:i w:val="0"/>
                <w:sz w:val="20"/>
              </w:rPr>
              <w:t>56</w:t>
            </w:r>
          </w:p>
        </w:tc>
        <w:tc>
          <w:tcPr>
            <w:tcW w:type="dxa" w:w="1040"/>
          </w:tcPr>
          <w:p>
            <w:pPr>
              <w:spacing w:before="0" w:after="0" w:line="276" w:lineRule="auto"/>
            </w:pPr>
            <w:r>
              <w:rPr>
                <w:rFonts w:ascii="Times New Roman" w:hAnsi="Times New Roman"/>
                <w:b w:val="0"/>
                <w:i w:val="0"/>
                <w:sz w:val="20"/>
              </w:rPr>
              <w:t>12–30 months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ERP</w:t>
            </w:r>
          </w:p>
        </w:tc>
        <w:tc>
          <w:tcPr>
            <w:tcW w:type="dxa" w:w="1040"/>
          </w:tcPr>
          <w:p>
            <w:pPr>
              <w:spacing w:before="0" w:after="0" w:line="276" w:lineRule="auto"/>
            </w:pPr>
            <w:r>
              <w:rPr>
                <w:rFonts w:ascii="Times New Roman" w:hAnsi="Times New Roman"/>
                <w:b w:val="0"/>
                <w:i w:val="0"/>
                <w:sz w:val="20"/>
              </w:rPr>
              <w:t>Parental education (years/categorical);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r>
        <w:tc>
          <w:tcPr>
            <w:tcW w:type="dxa" w:w="1040"/>
          </w:tcPr>
          <w:p>
            <w:pPr>
              <w:spacing w:before="0" w:after="0" w:line="276" w:lineRule="auto"/>
            </w:pPr>
            <w:r>
              <w:rPr>
                <w:rFonts w:ascii="Times New Roman" w:hAnsi="Times New Roman"/>
                <w:b w:val="0"/>
                <w:i w:val="0"/>
                <w:sz w:val="20"/>
              </w:rPr>
              <w:t>Ursache &amp; Noble (2016)</w:t>
            </w:r>
          </w:p>
        </w:tc>
        <w:tc>
          <w:tcPr>
            <w:tcW w:type="dxa" w:w="1040"/>
          </w:tcPr>
          <w:p>
            <w:pPr>
              <w:spacing w:before="0" w:after="0" w:line="276" w:lineRule="auto"/>
            </w:pPr>
            <w:r>
              <w:rPr>
                <w:rFonts w:ascii="Times New Roman" w:hAnsi="Times New Roman"/>
                <w:b w:val="0"/>
                <w:i w:val="0"/>
                <w:sz w:val="20"/>
              </w:rPr>
              <w:t>USA</w:t>
            </w:r>
          </w:p>
        </w:tc>
        <w:tc>
          <w:tcPr>
            <w:tcW w:type="dxa" w:w="1040"/>
          </w:tcPr>
          <w:p>
            <w:pPr>
              <w:spacing w:before="0" w:after="0" w:line="276" w:lineRule="auto"/>
            </w:pPr>
            <w:r>
              <w:rPr>
                <w:rFonts w:ascii="Times New Roman" w:hAnsi="Times New Roman"/>
                <w:b w:val="0"/>
                <w:i w:val="0"/>
                <w:sz w:val="20"/>
              </w:rPr>
              <w:t>107</w:t>
            </w:r>
          </w:p>
        </w:tc>
        <w:tc>
          <w:tcPr>
            <w:tcW w:type="dxa" w:w="1040"/>
          </w:tcPr>
          <w:p>
            <w:pPr>
              <w:spacing w:before="0" w:after="0" w:line="276" w:lineRule="auto"/>
            </w:pPr>
            <w:r>
              <w:rPr>
                <w:rFonts w:ascii="Times New Roman" w:hAnsi="Times New Roman"/>
                <w:b w:val="0"/>
                <w:i w:val="0"/>
                <w:sz w:val="20"/>
              </w:rPr>
              <w:t>3–21 years (focus 6–9y)</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DTI</w:t>
            </w:r>
          </w:p>
        </w:tc>
        <w:tc>
          <w:tcPr>
            <w:tcW w:type="dxa" w:w="1040"/>
          </w:tcPr>
          <w:p>
            <w:pPr>
              <w:spacing w:before="0" w:after="0" w:line="276" w:lineRule="auto"/>
            </w:pPr>
            <w:r>
              <w:rPr>
                <w:rFonts w:ascii="Times New Roman" w:hAnsi="Times New Roman"/>
                <w:b w:val="0"/>
                <w:i w:val="0"/>
                <w:sz w:val="20"/>
              </w:rPr>
              <w:t>Parental education (years); composite-separable</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8</w:t>
            </w:r>
          </w:p>
        </w:tc>
      </w:tr>
      <w:tr>
        <w:tc>
          <w:tcPr>
            <w:tcW w:type="dxa" w:w="1040"/>
          </w:tcPr>
          <w:p>
            <w:pPr>
              <w:spacing w:before="0" w:after="0" w:line="276" w:lineRule="auto"/>
            </w:pPr>
            <w:r>
              <w:rPr>
                <w:rFonts w:ascii="Times New Roman" w:hAnsi="Times New Roman"/>
                <w:b w:val="0"/>
                <w:i w:val="0"/>
                <w:sz w:val="20"/>
              </w:rPr>
              <w:t>Lange et al. (2010)</w:t>
            </w:r>
          </w:p>
        </w:tc>
        <w:tc>
          <w:tcPr>
            <w:tcW w:type="dxa" w:w="1040"/>
          </w:tcPr>
          <w:p>
            <w:pPr>
              <w:spacing w:before="0" w:after="0" w:line="276" w:lineRule="auto"/>
            </w:pPr>
            <w:r>
              <w:rPr>
                <w:rFonts w:ascii="Times New Roman" w:hAnsi="Times New Roman"/>
                <w:b w:val="0"/>
                <w:i w:val="0"/>
                <w:sz w:val="20"/>
              </w:rPr>
              <w:t>UK</w:t>
            </w:r>
          </w:p>
        </w:tc>
        <w:tc>
          <w:tcPr>
            <w:tcW w:type="dxa" w:w="1040"/>
          </w:tcPr>
          <w:p>
            <w:pPr>
              <w:spacing w:before="0" w:after="0" w:line="276" w:lineRule="auto"/>
            </w:pPr>
            <w:r>
              <w:rPr>
                <w:rFonts w:ascii="Times New Roman" w:hAnsi="Times New Roman"/>
                <w:b w:val="0"/>
                <w:i w:val="0"/>
                <w:sz w:val="20"/>
              </w:rPr>
              <w:t>309</w:t>
            </w:r>
          </w:p>
        </w:tc>
        <w:tc>
          <w:tcPr>
            <w:tcW w:type="dxa" w:w="1040"/>
          </w:tcPr>
          <w:p>
            <w:pPr>
              <w:spacing w:before="0" w:after="0" w:line="276" w:lineRule="auto"/>
            </w:pPr>
            <w:r>
              <w:rPr>
                <w:rFonts w:ascii="Times New Roman" w:hAnsi="Times New Roman"/>
                <w:b w:val="0"/>
                <w:i w:val="0"/>
                <w:sz w:val="20"/>
              </w:rPr>
              <w:t>4–18 years</w:t>
            </w:r>
          </w:p>
        </w:tc>
        <w:tc>
          <w:tcPr>
            <w:tcW w:type="dxa" w:w="1040"/>
          </w:tcPr>
          <w:p>
            <w:pPr>
              <w:spacing w:before="0" w:after="0" w:line="276" w:lineRule="auto"/>
            </w:pPr>
            <w:r>
              <w:rPr>
                <w:rFonts w:ascii="Times New Roman" w:hAnsi="Times New Roman"/>
                <w:b w:val="0"/>
                <w:i w:val="0"/>
                <w:sz w:val="20"/>
              </w:rPr>
              <w:t>Cross-sectional</w:t>
            </w:r>
          </w:p>
        </w:tc>
        <w:tc>
          <w:tcPr>
            <w:tcW w:type="dxa" w:w="1040"/>
          </w:tcPr>
          <w:p>
            <w:pPr>
              <w:spacing w:before="0" w:after="0" w:line="276" w:lineRule="auto"/>
            </w:pPr>
            <w:r>
              <w:rPr>
                <w:rFonts w:ascii="Times New Roman" w:hAnsi="Times New Roman"/>
                <w:b w:val="0"/>
                <w:i w:val="0"/>
                <w:sz w:val="20"/>
              </w:rPr>
              <w:t>sMRI</w:t>
            </w:r>
          </w:p>
        </w:tc>
        <w:tc>
          <w:tcPr>
            <w:tcW w:type="dxa" w:w="1040"/>
          </w:tcPr>
          <w:p>
            <w:pPr>
              <w:spacing w:before="0" w:after="0" w:line="276" w:lineRule="auto"/>
            </w:pPr>
            <w:r>
              <w:rPr>
                <w:rFonts w:ascii="Times New Roman" w:hAnsi="Times New Roman"/>
                <w:b w:val="0"/>
                <w:i w:val="0"/>
                <w:sz w:val="20"/>
              </w:rPr>
              <w:t>Parental education (categorical); edu-only</w:t>
            </w:r>
          </w:p>
        </w:tc>
        <w:tc>
          <w:tcPr>
            <w:tcW w:type="dxa" w:w="1040"/>
          </w:tcPr>
          <w:p>
            <w:pPr>
              <w:spacing w:before="0" w:after="0" w:line="276" w:lineRule="auto"/>
            </w:pPr>
            <w:r>
              <w:rPr>
                <w:rFonts w:ascii="Times New Roman" w:hAnsi="Times New Roman"/>
                <w:b w:val="0"/>
                <w:i w:val="0"/>
                <w:sz w:val="20"/>
              </w:rPr>
              <w:t>Positive</w:t>
            </w:r>
          </w:p>
        </w:tc>
        <w:tc>
          <w:tcPr>
            <w:tcW w:type="dxa" w:w="1040"/>
          </w:tcPr>
          <w:p>
            <w:pPr>
              <w:spacing w:before="0" w:after="0" w:line="276" w:lineRule="auto"/>
            </w:pPr>
            <w:r>
              <w:rPr>
                <w:rFonts w:ascii="Times New Roman" w:hAnsi="Times New Roman"/>
                <w:b w:val="0"/>
                <w:i w:val="0"/>
                <w:sz w:val="20"/>
              </w:rPr>
              <w:t>7</w:t>
            </w:r>
          </w:p>
        </w:tc>
      </w:tr>
    </w:tbl>
    <w:p/>
    <w:p>
      <w:pPr>
        <w:jc w:val="left"/>
        <w:spacing w:before="0" w:after="120" w:line="480" w:lineRule="auto"/>
      </w:pPr>
      <w:r>
        <w:rPr>
          <w:rFonts w:ascii="Times New Roman" w:hAnsi="Times New Roman"/>
          <w:b w:val="0"/>
          <w:i/>
          <w:sz w:val="24"/>
        </w:rPr>
        <w:t>Note.</w:t>
      </w:r>
      <w:r>
        <w:rPr>
          <w:rFonts w:ascii="Times New Roman" w:hAnsi="Times New Roman"/>
          <w:b w:val="0"/>
          <w:i w:val="0"/>
          <w:sz w:val="24"/>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4"/>
        </w:rPr>
        <w:t>p</w:t>
      </w:r>
      <w:r>
        <w:rPr>
          <w:rFonts w:ascii="Times New Roman" w:hAnsi="Times New Roman"/>
          <w:b w:val="0"/>
          <w:i w:val="0"/>
          <w:sz w:val="24"/>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Taken together, the five electrophysiological studies converge on the conclusion that higher parental education is associated with more differentiated and mature neural responses across multiple EEG and ERP indices, with convergent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after controlling for child age and sex. This is notable because the ERN is typically not robust until 5–6 years in Western samples (Davies et al., 2004; Torpey et al., 2009);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 and the effect size was moderate to large.</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in 261 term-born infants within days of birth in the United Kingdom. Maternal education (university degree vs. lower) was the primary exposure. Higher maternal education was independently associated with larger cortical surface area across multiple frontal, parietal, and temporal regions after FDR correction (</w:t>
      </w:r>
      <w:r>
        <w:rPr>
          <w:rFonts w:ascii="Times New Roman" w:hAnsi="Times New Roman"/>
          <w:b w:val="0"/>
          <w:i/>
          <w:sz w:val="24"/>
        </w:rPr>
        <w:t>β</w:t>
      </w:r>
      <w:r>
        <w:rPr>
          <w:rFonts w:ascii="Times New Roman" w:hAnsi="Times New Roman"/>
          <w:b w:val="0"/>
          <w:i w:val="0"/>
          <w:sz w:val="24"/>
        </w:rPr>
        <w:t xml:space="preserve"> = 0.09–0.15 across regions). Because the infants were assessed at birth, before any direct educational experience of their own, this finding implies that maternal education is associated with fetal cortical development </w:t>
      </w:r>
      <w:r>
        <w:rPr>
          <w:rFonts w:ascii="Times New Roman" w:hAnsi="Times New Roman"/>
          <w:b w:val="0"/>
          <w:i/>
          <w:sz w:val="24"/>
        </w:rPr>
        <w:t>in utero</w:t>
      </w:r>
      <w:r>
        <w:rPr>
          <w:rFonts w:ascii="Times New Roman" w:hAnsi="Times New Roman"/>
          <w:b w:val="0"/>
          <w:i w:val="0"/>
          <w:sz w:val="24"/>
        </w:rPr>
        <w:t>—via prenatal mechanisms such as nutritional status, hormonal stress regulation, or the quality and quantity of prenatal healthcare (Monk et al., 2013). This is the highest-quality study in the review (NOS = 9) and provides particularly strong evidence for an early-emerging, prenatal pathway from maternal education to neural structure.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b w:val="0"/>
          <w:i/>
          <w:sz w:val="24"/>
        </w:rPr>
        <w:t>p</w:t>
      </w:r>
      <w:r>
        <w:rPr>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toddler period assessed here—characterized by rapid myelination and synaptic pruning—represents a developmentally sensitive interval for environmental modulation of brain growth.</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rFonts w:ascii="Times New Roman" w:hAnsi="Times New Roman"/>
          <w:b w:val="0"/>
          <w:i/>
          <w:sz w:val="24"/>
        </w:rPr>
        <w:t>p</w:t>
      </w:r>
      <w:r>
        <w:rPr>
          <w:rFonts w:ascii="Times New Roman" w:hAnsi="Times New Roman"/>
          <w:b w:val="0"/>
          <w:i w:val="0"/>
          <w:sz w:val="24"/>
        </w:rP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most consistently implicated tract was the arcuate fasciculus, suggesting that parental education effects on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that directly promote synaptic strengthening and myelination in developing neural circuits (Hart &amp; Risley, 1995; Tomalski &amp; Johnson, 2010). Two converging lines of evidence from this review support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most parsimoniously explained by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status—must be the primary driver of observed parental education effects,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The central finding is one of strong directional consistency: 15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is most plausibly attributable to linguistic exposure heterogeneity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effects were detectable in neonates assessed within days of birth (McKinnon et al., 2023; Ramphal et al., 2020; Konrad et al., 2024), establishing that associations between parental education and neural outcomes are detectable from birth, 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the most consistently implicated white matter tract in two of three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and their findings speaks to the question of when in development parental education effects on neural outcomes first emerge and whether effects are concentrated in particular developmental windows. The neonatal findings (three of 16 studies) establish associations detectable from birth,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(six studies)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Cross-modal convergence and neural systems</w:t>
      </w:r>
    </w:p>
    <w:p>
      <w:pPr>
        <w:jc w:val="left"/>
        <w:spacing w:before="0" w:after="120" w:line="480" w:lineRule="auto"/>
      </w:pPr>
      <w:r>
        <w:rPr>
          <w:rFonts w:ascii="Times New Roman" w:hAnsi="Times New Roman"/>
          <w:b w:val="0"/>
          <w:i w:val="0"/>
          <w:sz w:val="24"/>
        </w:rPr>
        <w:t>The convergence of parental education effects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affected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4.4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i w:val="0"/>
          <w:sz w:val="24"/>
        </w:rPr>
        <w:t>Heterogeneity in education operationalization.</w:t>
      </w:r>
      <w:r>
        <w:rPr>
          <w:rFonts w:ascii="Times New Roman" w:hAnsi="Times New Roman"/>
          <w:b w:val="0"/>
          <w:i w:val="0"/>
          <w:sz w:val="24"/>
        </w:rPr>
        <w:t xml:space="preserve"> Across 16 studies, parental education was operationalized in at least six distinct ways (maternal years, paternal years, mean parental years, highest parental level, binary degree attainment, composite-separable). This heterogeneity limits the precision of conclusions about dose–response relationships and makes it impossible to determine whether specific thresholds of educational attainment (e.g., university degree) confer qualitatively different benefits than incremental differences within lower educational levels.</w:t>
      </w:r>
    </w:p>
    <w:p>
      <w:pPr>
        <w:jc w:val="left"/>
        <w:spacing w:before="0" w:after="120" w:line="480" w:lineRule="auto"/>
      </w:pPr>
      <w:r>
        <w:rPr>
          <w:rFonts w:ascii="Times New Roman" w:hAnsi="Times New Roman"/>
          <w:b/>
          <w:i w:val="0"/>
          <w:sz w:val="24"/>
        </w:rPr>
        <w:t>Absence of direct mechanism measurement.</w:t>
      </w:r>
      <w:r>
        <w:rPr>
          <w:rFonts w:ascii="Times New Roman" w:hAnsi="Times New Roman"/>
          <w:b w:val="0"/>
          <w:i w:val="0"/>
          <w:sz w:val="24"/>
        </w:rPr>
        <w:t xml:space="preserve"> As noted in Section 3.6, no included study directly measured the hypothesized mediating variables alongside neural outcomes.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i w:val="0"/>
          <w:sz w:val="24"/>
        </w:rPr>
        <w:t>Geographic and cultural concentration.</w:t>
      </w:r>
      <w:r>
        <w:rPr>
          <w:rFonts w:ascii="Times New Roman" w:hAnsi="Times New Roman"/>
          <w:b w:val="0"/>
          <w:i w:val="0"/>
          <w:sz w:val="24"/>
        </w:rPr>
        <w:t xml:space="preserve">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i w:val="0"/>
          <w:sz w:val="24"/>
        </w:rPr>
        <w:t>Small sample sizes.</w:t>
      </w:r>
      <w:r>
        <w:rPr>
          <w:rFonts w:ascii="Times New Roman" w:hAnsi="Times New Roman"/>
          <w:b w:val="0"/>
          <w:i w:val="0"/>
          <w:sz w:val="24"/>
        </w:rPr>
        <w:t xml:space="preserve"> 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i w:val="0"/>
          <w:sz w:val="24"/>
        </w:rPr>
        <w:t>Unmeasured confounding.</w:t>
      </w:r>
      <w:r>
        <w:rPr>
          <w:rFonts w:ascii="Times New Roman" w:hAnsi="Times New Roman"/>
          <w:b w:val="0"/>
          <w:i w:val="0"/>
          <w:sz w:val="24"/>
        </w:rPr>
        <w:t xml:space="preserve"> 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i w:val="0"/>
          <w:sz w:val="24"/>
        </w:rPr>
        <w:t>Publication bias.</w:t>
      </w:r>
      <w:r>
        <w:rPr>
          <w:rFonts w:ascii="Times New Roman" w:hAnsi="Times New Roman"/>
          <w:b w:val="0"/>
          <w:i w:val="0"/>
          <w:sz w:val="24"/>
        </w:rPr>
        <w:t xml:space="preserve"> 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i w:val="0"/>
          <w:sz w:val="24"/>
        </w:rPr>
        <w:t>Inclusion criterion and selection bias.</w:t>
      </w:r>
      <w:r>
        <w:rPr>
          <w:rFonts w:ascii="Times New Roman" w:hAnsi="Times New Roman"/>
          <w:b w:val="0"/>
          <w:i w:val="0"/>
          <w:sz w:val="24"/>
        </w:rPr>
        <w:t xml:space="preserve"> 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i w:val="0"/>
          <w:sz w:val="24"/>
        </w:rPr>
        <w:t>Genetic confounding.</w:t>
      </w:r>
      <w:r>
        <w:rPr>
          <w:rFonts w:ascii="Times New Roman" w:hAnsi="Times New Roman"/>
          <w:b w:val="0"/>
          <w:i w:val="0"/>
          <w:sz w:val="24"/>
        </w:rPr>
        <w:t xml:space="preserve"> 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Selzam et al., 2020).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4.5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The present review underscores the importance of treating parental education not merely as a demographic control variable in neurodevelopmental research, but as a substantive predictor of the environmental inputs that shape the developing brain.</w:t>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w:t>
      </w:r>
    </w:p>
    <w:p>
      <w:pPr>
        <w:jc w:val="left"/>
        <w:spacing w:before="0" w:after="120" w:line="480" w:lineRule="auto"/>
      </w:pPr>
      <w:r>
        <w:rPr>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b w:val="0"/>
          <w:i/>
          <w:sz w:val="24"/>
        </w:rPr>
        <w:t>Cerebral Cortex</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(9), 2919–2928. https://doi.org/10.1093/cercor/bhu088</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Selzam, S., McAdams, T. A., Coleman, J. R. I., Carnell, S., O'Reilly, P. F., Plomin, R., &amp; Llewellyn, C. H. (2020). Evidence for gene–environment correlation in child feeding: Links between common genetic variation for BMI in children and parental feeding practices. </w:t>
      </w:r>
      <w:r>
        <w:rPr>
          <w:rFonts w:ascii="Times New Roman" w:hAnsi="Times New Roman"/>
          <w:b w:val="0"/>
          <w:i/>
          <w:sz w:val="24"/>
        </w:rPr>
        <w:t>PLOS Genetics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(8), Article e1008851. https://doi.org/10.1371/journal.pgen.1008851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