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neural development in young children: a systematic review of EEG, ERP, fNIRS, and neuroimaging evidence</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young children (primarily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young children (target age 0–8 years; studies extending modestly beyond this window were eligible if early childhood was the primary analytical focus).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before substantial postnatal experience had accrued.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the neonatal period through middle childhood, with effects concentrated in language and executive control networks. Three neonatal studies implicate prenatal mechanisms as a necessary component of the association. Indirect evidence from full-range samples favours a gradient over a pure deprivation threshold, though no included study directly tested non-linearity. These findings call for prenatal studies with biological pathway measurement, pre-registered full-range SES designs, and research in non-Western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jc w:val="left"/>
        <w:spacing w:before="0" w:after="120" w:line="480" w:lineRule="auto"/>
      </w:pPr>
      <w:r>
        <w:rPr>
          <w:rFonts w:ascii="Times New Roman" w:hAnsi="Times New Roman"/>
          <w:b w:val="0"/>
          <w:i w:val="0"/>
          <w:sz w:val="24"/>
        </w:rPr>
        <w:t>Consistent with the World Health Organization and UNESCO frameworks, which define early childhood as birth to 8 years of age—encompassing the period from birth through the early primary school years—the present review adopts this boundary as its primary age window (WHO, 2007; UNESCO, 2010). This window is broader than the "first 1,000 days" (0–3 years) in order to capture neural development across the full preschool and early school-age period, yet narrower than middle childhood (9–12 years) and adolescence (12–18 years), which involve qualitatively distinct neurodevelopmental processes including puberty-related hormonal reorganisation and protracted prefrontal maturation.</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We did not pre-register this review in PROSPERO because the descriptive narrative synthesis design does not lend itself to a prospective protocol, and no formal registration was completed prior to data collection.</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sought for all 133 records; 1 record could not be retrieved after reasonable effort (E6) and is reported separately as a not-retrieved record. Of the remaining 132 records, 23 were excluded prior to full-text review on the basis of abstract information alone (22 records) or confirmed retraction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83);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no neural outcome measure (E3, </w:t>
      </w:r>
      <w:r>
        <w:rPr>
          <w:rFonts w:ascii="Times New Roman" w:hAnsi="Times New Roman"/>
          <w:b w:val="0"/>
          <w:i/>
          <w:sz w:val="24"/>
        </w:rPr>
        <w:t>k</w:t>
      </w:r>
      <w:r>
        <w:rPr>
          <w:rFonts w:ascii="Times New Roman" w:hAnsi="Times New Roman"/>
          <w:b w:val="0"/>
          <w:i w:val="0"/>
          <w:sz w:val="24"/>
        </w:rPr>
        <w:t xml:space="preserve"> = 1); full text inaccessible despite reasonable effort (E6, </w:t>
      </w:r>
      <w:r>
        <w:rPr>
          <w:rFonts w:ascii="Times New Roman" w:hAnsi="Times New Roman"/>
          <w:b w:val="0"/>
          <w:i/>
          <w:sz w:val="24"/>
        </w:rPr>
        <w:t>k</w:t>
      </w:r>
      <w:r>
        <w:rPr>
          <w:rFonts w:ascii="Times New Roman" w:hAnsi="Times New Roman"/>
          <w:b w:val="0"/>
          <w:i w:val="0"/>
          <w:sz w:val="24"/>
        </w:rPr>
        <w:t xml:space="preserve"> = 1); and age range outside 0–8 years without eligible subgroup data (E1,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sought for all 133 records; 1 record could not be retrieved. Of the remaining 132 records, 23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leaving 109 for full-text assessment. Full-text review of 109 records resulted in 93 exclusions; the most common reason was that parental education lacked an independently estimable effect (E2, </w:t>
      </w:r>
      <w:r>
        <w:rPr>
          <w:rFonts w:ascii="Times New Roman" w:hAnsi="Times New Roman"/>
          <w:b w:val="0"/>
          <w:i/>
          <w:sz w:val="24"/>
        </w:rPr>
        <w:t>k</w:t>
      </w:r>
      <w:r>
        <w:rPr>
          <w:rFonts w:ascii="Times New Roman" w:hAnsi="Times New Roman"/>
          <w:b w:val="0"/>
          <w:i w:val="0"/>
          <w:sz w:val="24"/>
        </w:rPr>
        <w:t xml:space="preserve"> = 83), followed by duplicate or superseded records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and single cases each of no neural outcome (E3, </w:t>
      </w:r>
      <w:r>
        <w:rPr>
          <w:rFonts w:ascii="Times New Roman" w:hAnsi="Times New Roman"/>
          <w:b w:val="0"/>
          <w:i/>
          <w:sz w:val="24"/>
        </w:rPr>
        <w:t>k</w:t>
      </w:r>
      <w:r>
        <w:rPr>
          <w:rFonts w:ascii="Times New Roman" w:hAnsi="Times New Roman"/>
          <w:b w:val="0"/>
          <w:i w:val="0"/>
          <w:sz w:val="24"/>
        </w:rPr>
        <w:t xml:space="preserve"> = 1), full text inaccessible (E6, </w:t>
      </w:r>
      <w:r>
        <w:rPr>
          <w:rFonts w:ascii="Times New Roman" w:hAnsi="Times New Roman"/>
          <w:b w:val="0"/>
          <w:i/>
          <w:sz w:val="24"/>
        </w:rPr>
        <w:t>k</w:t>
      </w:r>
      <w:r>
        <w:rPr>
          <w:rFonts w:ascii="Times New Roman" w:hAnsi="Times New Roman"/>
          <w:b w:val="0"/>
          <w:i w:val="0"/>
          <w:sz w:val="24"/>
        </w:rPr>
        <w:t xml:space="preserve"> = 1), and age range outside target window (E1, </w:t>
      </w:r>
      <w:r>
        <w:rPr>
          <w:rFonts w:ascii="Times New Roman" w:hAnsi="Times New Roman"/>
          <w:b w:val="0"/>
          <w:i/>
          <w:sz w:val="24"/>
        </w:rPr>
        <w:t>k</w:t>
      </w:r>
      <w:r>
        <w:rPr>
          <w:rFonts w:ascii="Times New Roman" w:hAnsi="Times New Roman"/>
          <w:b w:val="0"/>
          <w:i w:val="0"/>
          <w:sz w:val="24"/>
        </w:rPr>
        <w:t xml:space="preserve"> = 1).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10 countries or regions (United States, United Kingdom, Germany, Canada, Spain, Brazil, India, Norway, and a US/UK/Norway multinational cohort).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including one study in which brain volume served as a covariate rather than primary outcome; see Section 3.5.1),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one study additionally included frontal theta power analysis),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modestly beyond 8 years (Ursache &amp; Noble, 2016: 6–9 years; Demir-Lira et al., 2021: 6–13 years; Maguire &amp; Schneider, 2019: 8–15 years; Lange et al., 2010: 4–18 years); these were retained because their primary neural findings were concentrated in or began within the early childhood period, or because the study design involved longitudinal follow-up originating within the target window (see Table 1). Findings from these studies are interpreted in light of their extended age ranges.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16–18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Two separate analyses were reported. First, income-group comparisons showed that children from low-income families had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Second, in an independent regression analysis, maternal education (not income group)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after controlling for income and raw EEG metrics. These two analyses address different questions and are not directly linked: the income-EEG association reflects group-level differences in cortical maturation, whereas the education-vocabulary regression demonstrates that maternal education carries unique predictive weight for lexical development beyond household financial resources. The education-vocabulary finding points to a pathway from maternal educational attainment through language input quality to lexical development that is not reducible to income-related neural differences.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two continents (North America and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error-monitoring neural responses in 52 toddlers (aged 16–18 months; final analysable sample after exclusions) in Spain. Using a passive puzzle-error observation paradigm—in which toddlers watched puzzle pieces being assembled correctly or incorrectly—the study recorded both the error-related negativity (ERN; a fronto-central time-domain component) and frontal theta power (4–7 Hz; a frequency-domain measure of the same error-detection process). Separate simple linear regressions were conducted for each SES predictor. When parental education (years of schooling) was entered as the sole predictor, it independently predicted a larger (more negative) ERN amplitude (</w:t>
      </w:r>
      <w:r>
        <w:rPr>
          <w:rFonts w:ascii="Times New Roman" w:hAnsi="Times New Roman"/>
          <w:b w:val="0"/>
          <w:i/>
          <w:sz w:val="24"/>
        </w:rPr>
        <w:t>β</w:t>
      </w:r>
      <w:r>
        <w:rPr>
          <w:rFonts w:ascii="Times New Roman" w:hAnsi="Times New Roman"/>
          <w:b w:val="0"/>
          <w:i w:val="0"/>
          <w:sz w:val="24"/>
        </w:rPr>
        <w:t xml:space="preserve"> = .31, </w:t>
      </w:r>
      <w:r>
        <w:rPr>
          <w:rFonts w:ascii="Times New Roman" w:hAnsi="Times New Roman"/>
          <w:b w:val="0"/>
          <w:i/>
          <w:sz w:val="24"/>
        </w:rPr>
        <w:t>F</w:t>
      </w:r>
      <w:r>
        <w:rPr>
          <w:rFonts w:ascii="Times New Roman" w:hAnsi="Times New Roman"/>
          <w:b w:val="0"/>
          <w:i w:val="0"/>
          <w:sz w:val="24"/>
        </w:rPr>
        <w:t xml:space="preserve">(1, 51) = 5.03,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.10). A parallel regression with the composite SES index (combining education, occupation, and income) as the sole predictor accounted for greater variance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.13), indicating that education contributes independently but that broader socioeconomic context captures additional explanatory power. Parental education showed a marginal association with frontal theta power in a third separate regression (</w:t>
      </w:r>
      <w:r>
        <w:rPr>
          <w:rFonts w:ascii="Times New Roman" w:hAnsi="Times New Roman"/>
          <w:b w:val="0"/>
          <w:i/>
          <w:sz w:val="24"/>
        </w:rPr>
        <w:t>β</w:t>
      </w:r>
      <w:r>
        <w:rPr>
          <w:rFonts w:ascii="Times New Roman" w:hAnsi="Times New Roman"/>
          <w:b w:val="0"/>
          <w:i w:val="0"/>
          <w:sz w:val="24"/>
        </w:rPr>
        <w:t xml:space="preserve"> = .25, </w:t>
      </w:r>
      <w:r>
        <w:rPr>
          <w:rFonts w:ascii="Times New Roman" w:hAnsi="Times New Roman"/>
          <w:b w:val="0"/>
          <w:i/>
          <w:sz w:val="24"/>
        </w:rPr>
        <w:t>F</w:t>
      </w:r>
      <w:r>
        <w:rPr>
          <w:rFonts w:ascii="Times New Roman" w:hAnsi="Times New Roman"/>
          <w:b w:val="0"/>
          <w:i w:val="0"/>
          <w:sz w:val="24"/>
        </w:rPr>
        <w:t xml:space="preserve">(1, 51) = 3.47, </w:t>
      </w:r>
      <w:r>
        <w:rPr>
          <w:rFonts w:ascii="Times New Roman" w:hAnsi="Times New Roman"/>
          <w:b w:val="0"/>
          <w:i/>
          <w:sz w:val="24"/>
        </w:rPr>
        <w:t>p</w:t>
      </w:r>
      <w:r>
        <w:rPr>
          <w:rFonts w:ascii="Times New Roman" w:hAnsi="Times New Roman"/>
          <w:b w:val="0"/>
          <w:i w:val="0"/>
          <w:sz w:val="24"/>
        </w:rPr>
        <w:t xml:space="preserve"> = .07). This is notable because the ERN is typically not robust until 5–6 years in Western samples (Davies et al., 2004; Torpey et al., 2009); its detectability in toddlers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across the combined sample (</w:t>
      </w:r>
      <w:r>
        <w:rPr>
          <w:rFonts w:ascii="Times New Roman" w:hAnsi="Times New Roman"/>
          <w:b w:val="0"/>
          <w:i/>
          <w:sz w:val="24"/>
        </w:rPr>
        <w:t>N</w:t>
      </w:r>
      <w:r>
        <w:rPr>
          <w:rFonts w:ascii="Times New Roman" w:hAnsi="Times New Roman"/>
          <w:b w:val="0"/>
          <w:i w:val="0"/>
          <w:sz w:val="24"/>
        </w:rPr>
        <w:t xml:space="preserve"> = 35).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all 261 infants after FDR correction and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(regression coefficient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education—is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 This dimension of the home environment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prior to the accumulation of substantial postnatal experience—including full-term neonates scanned within days of birth (Ramphal et al., 2020) and very preterm infants assessed during the NICU period (McKinnon et al., 2023; Konrad et al., 2024)—prenatal mechanisms operating via maternal stress physiology and nutritional status likely contribute substantially to the observed parental education associations.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before substantial postnatal experience had accrued—including in one study scanning full-term infants within four days of birth (Ramphal et al., 2020), and in two studies of very preterm infants assessed during the NICU period (McKinnon et al., 2023; Konrad et al., 2024)—consistent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notably, in the larger sample, the education–FA association in this tract persisted after controlling for income (Ozernov-Palchik et al., 2019),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across five neurodevelopmental phases</w:t>
      </w:r>
    </w:p>
    <w:p>
      <w:pPr>
        <w:jc w:val="left"/>
        <w:spacing w:before="0" w:after="120" w:line="480" w:lineRule="auto"/>
      </w:pPr>
      <w:r>
        <w:rPr>
          <w:rFonts w:ascii="Times New Roman" w:hAnsi="Times New Roman"/>
          <w:b w:val="0"/>
          <w:i w:val="0"/>
          <w:sz w:val="24"/>
        </w:rPr>
        <w:t>The age distribution of included studies maps onto five neurodevelopmentally meaningful phases, each characterised by distinct brain maturational processes (see Figure 4). This framing clarifies when parental education associations first emerge, how they evolve across development, and where evidence gaps remain.</w:t>
      </w:r>
    </w:p>
    <w:p>
      <w:pPr>
        <w:jc w:val="left"/>
        <w:spacing w:before="0" w:after="120" w:line="480" w:lineRule="auto"/>
      </w:pPr>
      <w:r>
        <w:rPr>
          <w:rFonts w:ascii="Times New Roman" w:hAnsi="Times New Roman"/>
          <w:b/>
          <w:i w:val="0"/>
          <w:sz w:val="24"/>
        </w:rPr>
        <w:t>Phase 1: Perinatal and neonatal period (0–1 month).</w:t>
      </w:r>
      <w:r>
        <w:rPr>
          <w:rFonts w:ascii="Times New Roman" w:hAnsi="Times New Roman"/>
          <w:b w:val="0"/>
          <w:i w:val="0"/>
          <w:sz w:val="24"/>
        </w:rPr>
        <w:t xml:space="preserve"> Three studies examined neural outcomes within days to weeks of birth (McKinnon et al., 2023; Konrad et al., 2024; Ramphal et al., 2020). This phase is defined by rapid cortical surface area expansion, establishment of long-range white matter connections, and the organisation of resting-state functional networks—all processes that can be influenced by the prenatal environment before postnatal experience has accrued. The convergence of three independent neonatal findings across structural MRI and functional MRI modalities constitutes the review's strongest evidence for a prenatal, in utero pathway from maternal education to fetal neural development.</w:t>
      </w:r>
    </w:p>
    <w:p>
      <w:pPr>
        <w:jc w:val="left"/>
        <w:spacing w:before="0" w:after="120" w:line="480" w:lineRule="auto"/>
      </w:pPr>
      <w:r>
        <w:rPr>
          <w:rFonts w:ascii="Times New Roman" w:hAnsi="Times New Roman"/>
          <w:b/>
          <w:i w:val="0"/>
          <w:sz w:val="24"/>
        </w:rPr>
        <w:t>Phase 2: Infancy (1–24 months).</w:t>
      </w:r>
      <w:r>
        <w:rPr>
          <w:rFonts w:ascii="Times New Roman" w:hAnsi="Times New Roman"/>
          <w:b w:val="0"/>
          <w:i w:val="0"/>
          <w:sz w:val="24"/>
        </w:rPr>
        <w:t xml:space="preserve"> Six studies focused on infants within the first two years of life (Brito &amp; Noble, 2020; Wienke et al., 2024; Shephard et al., 2019; Turesky et al., 2022; Conejero et al., 2018; Stiver et al., 2015). This phase is characterised by the onset of myelination in long-range association tracts, the emergence of alpha rhythms as markers of thalamocortical organisation, and rapid growth of the arcuate fasciculus—the white matter pathway linking perisylvian language regions. The finding that maternal education predicts arcuate fasciculus FA as early as 8–9 months (Turesky et al., 2022), alongside education-related differences in resting-state EEG power (Brito &amp; Noble, 2020; Shephard et al., 2019), indicates that parental education effects on both white matter structure and electrophysiological organisation are already detectable within the first year of life.</w:t>
      </w:r>
    </w:p>
    <w:p>
      <w:pPr>
        <w:jc w:val="left"/>
        <w:spacing w:before="0" w:after="120" w:line="480" w:lineRule="auto"/>
      </w:pPr>
      <w:r>
        <w:rPr>
          <w:rFonts w:ascii="Times New Roman" w:hAnsi="Times New Roman"/>
          <w:b/>
          <w:i w:val="0"/>
          <w:sz w:val="24"/>
        </w:rPr>
        <w:t>Phase 3: Preschool period (2–6 years).</w:t>
      </w:r>
      <w:r>
        <w:rPr>
          <w:rFonts w:ascii="Times New Roman" w:hAnsi="Times New Roman"/>
          <w:b w:val="0"/>
          <w:i w:val="0"/>
          <w:sz w:val="24"/>
        </w:rPr>
        <w:t xml:space="preserve"> This developmental phase—characterised by peak synaptic pruning, the emergence of executive function, and the formation of fronto-parietal control networks—is conspicuously underrepresented in the current evidence base. No included study focused exclusively on 2–5 year olds, with only partial coverage from longitudinal designs spanning this range (Zhu et al., 2023; Ramphal et al., 2020 follow-up). This gap likely reflects methodological challenges: structural and functional neuroimaging in awake preschool-age children is technically demanding, and electrophysiological paradigms suitable for this age group require careful adaptation. The preschool period represents a high-priority target for future research, given that this is precisely when parental language input and cognitive stimulation are most intensively shaping prefrontal and language networks.</w:t>
      </w:r>
    </w:p>
    <w:p>
      <w:pPr>
        <w:jc w:val="left"/>
        <w:spacing w:before="0" w:after="120" w:line="480" w:lineRule="auto"/>
      </w:pPr>
      <w:r>
        <w:rPr>
          <w:rFonts w:ascii="Times New Roman" w:hAnsi="Times New Roman"/>
          <w:b/>
          <w:i w:val="0"/>
          <w:sz w:val="24"/>
        </w:rPr>
        <w:t>Phase 4: Early school age (6–8 years).</w:t>
      </w:r>
      <w:r>
        <w:rPr>
          <w:rFonts w:ascii="Times New Roman" w:hAnsi="Times New Roman"/>
          <w:b w:val="0"/>
          <w:i w:val="0"/>
          <w:sz w:val="24"/>
        </w:rPr>
        <w:t xml:space="preserve"> Four studies examined children within the early school-age window (Wijeakumar et al., 2019; Ozernov-Palchik et al., 2019; Ursache &amp; Noble, 2016 primary subsample; Zhu et al., 2023 endpoint). This phase is marked by continued myelination of the arcuate fasciculus, consolidation of reading-related neural circuits, and maturation of frontoparietal executive control networks. The finding that parental education independently predicts arcuate fasciculus FA at 5–8 years (Ozernov-Palchik et al., 2019), even after controlling for household income, suggests that education-related advantages in white matter organisation—first detectable in infancy—have widened by school entry and are associated with the development of reading readiness.</w:t>
      </w:r>
    </w:p>
    <w:p>
      <w:pPr>
        <w:jc w:val="left"/>
        <w:spacing w:before="0" w:after="120" w:line="480" w:lineRule="auto"/>
      </w:pPr>
      <w:r>
        <w:rPr>
          <w:rFonts w:ascii="Times New Roman" w:hAnsi="Times New Roman"/>
          <w:b/>
          <w:i w:val="0"/>
          <w:sz w:val="24"/>
        </w:rPr>
        <w:t>Phase 5: Middle childhood and beyond (8+ years; beyond the primary target window).</w:t>
      </w:r>
      <w:r>
        <w:rPr>
          <w:rFonts w:ascii="Times New Roman" w:hAnsi="Times New Roman"/>
          <w:b w:val="0"/>
          <w:i w:val="0"/>
          <w:sz w:val="24"/>
        </w:rPr>
        <w:t xml:space="preserve"> Four studies included participants extending beyond 8 years (Ursache &amp; Noble, 2016: to 9 years; Demir-Lira et al., 2021: to 13 years; Maguire &amp; Schneider, 2019: to 15 years; Lange et al., 2010: to 18 years). These findings demonstrate that parental education associations with neural outcomes persist well into middle childhood and adolescence, consistent with cumulative environmental exposure models. However, given that these studies extend beyond the review's primary age window, their findings are interpreted as complementary rather than central evidence, and are included to contextualise the early childhood findings within a broader developmental trajectory.</w:t>
      </w:r>
    </w:p>
    <w:p>
      <w:pPr>
        <w:jc w:val="left"/>
        <w:spacing w:before="0" w:after="120" w:line="480" w:lineRule="auto"/>
      </w:pPr>
      <w:r>
        <w:rPr>
          <w:rFonts w:ascii="Times New Roman" w:hAnsi="Times New Roman"/>
          <w:b w:val="0"/>
          <w:i w:val="0"/>
          <w:sz w:val="24"/>
        </w:rPr>
        <w:t>Taken together, this phase-based synthesis reveals an asymmetric evidence base: the perinatal and infancy phases are relatively well covered (nine studies), the early school-age phase has moderate coverage (four studies), middle childhood is represented by four studies that extend beyond the primary window, and the preschool phase remains an evidence gap. Future reviews with an expanded age scope, or primary studies targeting the 2–6 year window, are needed to complete the developmental picture.</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 Brito &amp; Noble (2020)‡</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‡Brito &amp; Noble (2020) is included in the language-network category because posterior alpha/beta power in infancy serves as a general index of thalamocortical maturation supporting early language processing (Marshall &amp; Meltzoff, 2014), though this categorisation is indirect; the association also did not survive FDR correction (see §4.3.4). †Lange et al. (2010) is categorised under global morphometry for tabulation purposes; its primary finding was an association between parental education and verbal IQ, with brain volume included as a covariate rather than a primary neural outcome (see §3.5.1).</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birth through 8 years, is counted in the Childhood window only.</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established associations detectable before substantial postnatal experience had accrued: one scanning full-term infants within four days of birth (Ramphal et al., 2020) and two examining very preterm infants during the NICU period at term-equivalent age (McKinnon et al., 2023; Konrad et al., 2024), all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 Note: Zhu et al. (2023), whose longitudinal MRI assessments spanned birth through 8 years, is counted only in the Childhood window below and is not included in the k = 9 above.</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 study in this review examined parental education effects on neural development in children aged 3–5 years—a period of rapid vocabulary growth and emerging executive function (Diamond, 2013). This is the most critical missing window in the current evidence base, discussed further in Section 4.6.</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across their birth-to-8-year assessment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 xml:space="preserve">A potential methodological moderator is how parental education was measured. Across 16 studies, two distinct classification dimensions are relevant. In terms of </w:t>
      </w:r>
      <w:r>
        <w:rPr>
          <w:rFonts w:ascii="Times New Roman" w:hAnsi="Times New Roman"/>
          <w:b/>
          <w:i w:val="0"/>
          <w:sz w:val="24"/>
        </w:rPr>
        <w:t>operationalization independence</w:t>
      </w:r>
      <w:r>
        <w:rPr>
          <w:rFonts w:ascii="Times New Roman" w:hAnsi="Times New Roman"/>
          <w:b w:val="0"/>
          <w:i w:val="0"/>
          <w:sz w:val="24"/>
        </w:rPr>
        <w:t xml:space="preserve">, education was the sole SES exposure in 9 studies (edu-only) and one component of a composite SES index with a separately estimable coefficient in 7 studies (composite-separable). In terms of </w:t>
      </w:r>
      <w:r>
        <w:rPr>
          <w:rFonts w:ascii="Times New Roman" w:hAnsi="Times New Roman"/>
          <w:b/>
          <w:i w:val="0"/>
          <w:sz w:val="24"/>
        </w:rPr>
        <w:t>measurement format</w:t>
      </w:r>
      <w:r>
        <w:rPr>
          <w:rFonts w:ascii="Times New Roman" w:hAnsi="Times New Roman"/>
          <w:b w:val="0"/>
          <w:i w:val="0"/>
          <w:sz w:val="24"/>
        </w:rPr>
        <w:t xml:space="preserve">, education was operationalized as continuous years of schooling in approximately 9 studies, and as categorical degree attainment (e.g., university vs. lower) in approximately 6 studies; one study (Ramphal et al., 2020) did not specify the format precisely. These two dimensions are orthogonal: studies with composite-separable operationalizations used both continuous and categorical formats.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 (Monk et al., 2013)—are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findings were heterogeneous across the two included studies: Conejero et al. (2018) found larger ERN amplitude at fronto-central electrodes associated with higher parental education, consistent with more advanced error-monitoring development; Wienke et al. (2024), using an MMN paradigm targeting auditory discrimination, produced the review's only negative result. The ERP evidence therefore does not converge on a consistent pattern, and this modality is noted here for completeness rather than as evidence of cross-modal convergence. In fNIRS, greater inferior frontal gyrus activation was found. In fMRI, effects clustered in medial prefrontal cortex (amygdala–PFC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7 of 16 studies operationalized education specifically as maternal education; the remaining 9 studies used a combined or highest-parental measure.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Where this review's findings reflect primarily maternal education associations (7 studies), caution is warranted in generalising conclusions to paternal or combined-parental education effects.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or regions,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A sensitivity analysis restricted to the 12 studies with participants entirely within the 0–8 year window yielded consistent findings: 11 of 12 (92%) reported positive associations, and the arcuate fasciculus and neonatal effects remained the most prominent results. This indicates that inclusion of the four studies extending beyond 8 years did not materially alter the review's conclusions, and that the 0–8 year literature alone is sufficient to support the three principal findings of this review.</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second, distinct form of selection bias. Studies in which parental education showed no independent association with neural outcomes are more likely to have operationalized education as part of a composite index without a separately reported coefficient—and thus be excluded under the E2 criterion. The high positive rate observed in this review may therefore partly reflect the structure of the inclusion criterion rather than solely the biological reality. This source of selection bias is conceptually separable from publication bias: it operates at the level of how parental education was modelled (and thus reported) rather than at the level of whether null studies were submitted for publication. Readers should interpret the directional consistency with awareness that the reviewed evidence base is necessarily drawn from studies in which an independent education signal was sufficiently prominent to be modelled and reported separately, and that both publication bias and inclusion-criterion selection may jointly contribute to the observed proportion of positive findings.</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Branigan et al., 2013).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jc w:val="left"/>
        <w:spacing w:before="0" w:after="120" w:line="480" w:lineRule="auto"/>
      </w:pPr>
      <w:r>
        <w:rPr>
          <w:rFonts w:ascii="Times New Roman" w:hAnsi="Times New Roman"/>
          <w:b w:val="0"/>
          <w:i w:val="0"/>
          <w:sz w:val="24"/>
        </w:rPr>
        <w:t>Finally, this review was not pre-registered in PROSPERO. As a narrative synthesis without a prospective analysis protocol, formal registration was not completed prior to data collection; this is acknowledged as a limitation in line with PRISMA 2020 transparency standards.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emerging as early as the neonatal period and persisting through middle childhood. Effects are concentrated in language and executive control networks—the neural substrates of the behavioral domains most consistently associated with parental education in the developmental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Branigan, A. R., McCallum, K. J., &amp; Freese, J. (2013). Variation in the heritability of educational attainment: An international meta-analysis. </w:t>
      </w:r>
      <w:r>
        <w:rPr>
          <w:rFonts w:ascii="Times New Roman" w:hAnsi="Times New Roman"/>
          <w:b w:val="0"/>
          <w:i/>
          <w:sz w:val="24"/>
        </w:rPr>
        <w:t>Social Forces</w:t>
      </w:r>
      <w:r>
        <w:rPr>
          <w:rFonts w:ascii="Times New Roman" w:hAnsi="Times New Roman"/>
          <w:b w:val="0"/>
          <w:i w:val="0"/>
          <w:sz w:val="24"/>
        </w:rPr>
        <w:t xml:space="preserve">, </w:t>
      </w:r>
      <w:r>
        <w:rPr>
          <w:rFonts w:ascii="Times New Roman" w:hAnsi="Times New Roman"/>
          <w:b w:val="0"/>
          <w:i/>
          <w:sz w:val="24"/>
        </w:rPr>
        <w:t>92</w:t>
      </w:r>
      <w:r>
        <w:rPr>
          <w:rFonts w:ascii="Times New Roman" w:hAnsi="Times New Roman"/>
          <w:b w:val="0"/>
          <w:i w:val="0"/>
          <w:sz w:val="24"/>
        </w:rPr>
        <w:t>(1), 109–140. https://doi.org/10.1093/sf/sot076</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 Publishing Co.</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 https://doi.org/10.1037/a0030612</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 https://doi.org/10.1523/JNEUROSCI.3479-08.2008</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 https://doi.org/10.1111/j.1749-6632.2009.05437.x</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 https://doi.org/10.1038/nn.3983</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Shonkoff, J. P., Garner, A. S., Committee on Psychosocial Aspects of Child and Family Health, Committee on Early Childhood, Adoption, and Dependent Care, &amp;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 https://doi.org/10.1007/s11065-010-9148-4</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 https://doi.org/10.1097/YCO.0b013e3283387d9f</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UNESCO. (2010). </w:t>
      </w:r>
      <w:r>
        <w:rPr>
          <w:rFonts w:ascii="Times New Roman" w:hAnsi="Times New Roman"/>
          <w:b w:val="0"/>
          <w:i/>
          <w:sz w:val="24"/>
        </w:rPr>
        <w:t>World conference on early childhood care and education: Building the wealth of nations</w:t>
      </w:r>
      <w:r>
        <w:rPr>
          <w:rFonts w:ascii="Times New Roman" w:hAnsi="Times New Roman"/>
          <w:b w:val="0"/>
          <w:i w:val="0"/>
          <w:sz w:val="24"/>
        </w:rPr>
        <w:t>. UNESCO. https://unesdoc.unesco.org/ark:/48223/pf0000190776</w:t>
      </w:r>
    </w:p>
    <w:p>
      <w:pPr>
        <w:jc w:val="left"/>
        <w:spacing w:before="0" w:after="120" w:line="480" w:lineRule="auto"/>
      </w:pPr>
      <w:r>
        <w:rPr>
          <w:rFonts w:ascii="Times New Roman" w:hAnsi="Times New Roman"/>
          <w:b w:val="0"/>
          <w:i w:val="0"/>
          <w:sz w:val="24"/>
        </w:rPr>
        <w:t xml:space="preserve">World Health Organization. (2007). </w:t>
      </w:r>
      <w:r>
        <w:rPr>
          <w:rFonts w:ascii="Times New Roman" w:hAnsi="Times New Roman"/>
          <w:b w:val="0"/>
          <w:i/>
          <w:sz w:val="24"/>
        </w:rPr>
        <w:t>Early child development: A powerful equalizer</w:t>
      </w:r>
      <w:r>
        <w:rPr>
          <w:rFonts w:ascii="Times New Roman" w:hAnsi="Times New Roman"/>
          <w:b w:val="0"/>
          <w:i w:val="0"/>
          <w:sz w:val="24"/>
        </w:rPr>
        <w:t>. WHO Press. https://www.who.int/publications/i/item/early-child-development-a-powerful-equalizer</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