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Background:</w:t>
      </w:r>
      <w:r>
        <w:rPr>
          <w:rFonts w:ascii="Times New Roman" w:hAnsi="Times New Roman"/>
          <w:b w:val="0"/>
          <w:i w:val="0"/>
          <w:sz w:val="24"/>
        </w:rPr>
        <w:t xml:space="preserve"> Parental education level is among the most consistently measured dimensions of socioeconomic status and a robust predictor of children's cognitive and language outcomes. However, a comprehensive synthesis of its neural correlates in early childhood is lacking.</w:t>
      </w:r>
    </w:p>
    <w:p>
      <w:pPr>
        <w:jc w:val="left"/>
        <w:spacing w:before="0" w:after="120" w:line="480" w:lineRule="auto"/>
      </w:pPr>
      <w:r>
        <w:rPr>
          <w:rFonts w:ascii="Times New Roman" w:hAnsi="Times New Roman"/>
          <w:b/>
          <w:i w:val="0"/>
          <w:sz w:val="24"/>
        </w:rPr>
        <w:t>Objective:</w:t>
      </w:r>
      <w:r>
        <w:rPr>
          <w:rFonts w:ascii="Times New Roman" w:hAnsi="Times New Roman"/>
          <w:b w:val="0"/>
          <w:i w:val="0"/>
          <w:sz w:val="24"/>
        </w:rPr>
        <w:t xml:space="preserve"> To systematically review evidence on associations between parental education level and neural development in children aged 0–8 years, across EEG, ERP, fNIRS, and neuroimaging modalities.</w:t>
      </w:r>
    </w:p>
    <w:p>
      <w:pPr>
        <w:jc w:val="left"/>
        <w:spacing w:before="0" w:after="120" w:line="480" w:lineRule="auto"/>
      </w:pPr>
      <w:r>
        <w:rPr>
          <w:rFonts w:ascii="Times New Roman" w:hAnsi="Times New Roman"/>
          <w:b/>
          <w:i w:val="0"/>
          <w:sz w:val="24"/>
        </w:rPr>
        <w:t>Methods:</w:t>
      </w:r>
      <w:r>
        <w:rPr>
          <w:rFonts w:ascii="Times New Roman" w:hAnsi="Times New Roman"/>
          <w:b w:val="0"/>
          <w:i w:val="0"/>
          <w:sz w:val="24"/>
        </w:rPr>
        <w:t xml:space="preserve"> We searched PubMed/MEDLINE, PsycINFO, Web of Science, and Scopus from inception to April 2026, following PRISMA 2020 guidelines. Studies were included if they reported a statistically independent association between parental education (not solely a composite SES score) and at least one direct neural outcome measure in children aged 0–8 years. Study quality was assessed using the Newcastle–Ottawa Scale.</w:t>
      </w:r>
    </w:p>
    <w:p>
      <w:pPr>
        <w:jc w:val="left"/>
        <w:spacing w:before="0" w:after="120" w:line="480" w:lineRule="auto"/>
      </w:pPr>
      <w:r>
        <w:rPr>
          <w:rFonts w:ascii="Times New Roman" w:hAnsi="Times New Roman"/>
          <w:b/>
          <w:i w:val="0"/>
          <w:sz w:val="24"/>
        </w:rPr>
        <w:t>Results:</w:t>
      </w:r>
      <w:r>
        <w:rPr>
          <w:rFonts w:ascii="Times New Roman" w:hAnsi="Times New Roman"/>
          <w:b w:val="0"/>
          <w:i w:val="0"/>
          <w:sz w:val="24"/>
        </w:rPr>
        <w:t xml:space="preserve"> Sixteen studies (</w:t>
      </w:r>
      <w:r>
        <w:rPr>
          <w:rFonts w:ascii="Times New Roman" w:hAnsi="Times New Roman"/>
          <w:b w:val="0"/>
          <w:i/>
          <w:sz w:val="24"/>
        </w:rPr>
        <w:t>N</w:t>
      </w:r>
      <w:r>
        <w:rPr>
          <w:rFonts w:ascii="Times New Roman" w:hAnsi="Times New Roman"/>
          <w:b w:val="0"/>
          <w:i w:val="0"/>
          <w:sz w:val="24"/>
        </w:rPr>
        <w:t xml:space="preserve"> = 26–373 per study; 10 countries or regions) met inclusion criteria. Across six neural modalities (resting-state EEG, ERP, fNIRS, fMRI, DTI, and structural MRI), 15 of 16 studies (94%) reported a positive association between higher parental education and more mature or stronger neural indices. Evidence was most consistent across structural MRI (</w:t>
      </w:r>
      <w:r>
        <w:rPr>
          <w:rFonts w:ascii="Times New Roman" w:hAnsi="Times New Roman"/>
          <w:b w:val="0"/>
          <w:i/>
          <w:sz w:val="24"/>
        </w:rPr>
        <w:t>k</w:t>
      </w:r>
      <w:r>
        <w:rPr>
          <w:rFonts w:ascii="Times New Roman" w:hAnsi="Times New Roman"/>
          <w:b w:val="0"/>
          <w:i w:val="0"/>
          <w:sz w:val="24"/>
        </w:rPr>
        <w:t xml:space="preserve"> = 5, all positive), DTI (</w:t>
      </w:r>
      <w:r>
        <w:rPr>
          <w:rFonts w:ascii="Times New Roman" w:hAnsi="Times New Roman"/>
          <w:b w:val="0"/>
          <w:i/>
          <w:sz w:val="24"/>
        </w:rPr>
        <w:t>k</w:t>
      </w:r>
      <w:r>
        <w:rPr>
          <w:rFonts w:ascii="Times New Roman" w:hAnsi="Times New Roman"/>
          <w:b w:val="0"/>
          <w:i w:val="0"/>
          <w:sz w:val="24"/>
        </w:rPr>
        <w:t xml:space="preserve"> = 3, all positive), resting-state EEG (</w:t>
      </w:r>
      <w:r>
        <w:rPr>
          <w:rFonts w:ascii="Times New Roman" w:hAnsi="Times New Roman"/>
          <w:b w:val="0"/>
          <w:i/>
          <w:sz w:val="24"/>
        </w:rPr>
        <w:t>k</w:t>
      </w:r>
      <w:r>
        <w:rPr>
          <w:rFonts w:ascii="Times New Roman" w:hAnsi="Times New Roman"/>
          <w:b w:val="0"/>
          <w:i w:val="0"/>
          <w:sz w:val="24"/>
        </w:rPr>
        <w:t xml:space="preserve"> = 3, all positive), and fMRI (</w:t>
      </w:r>
      <w:r>
        <w:rPr>
          <w:rFonts w:ascii="Times New Roman" w:hAnsi="Times New Roman"/>
          <w:b w:val="0"/>
          <w:i/>
          <w:sz w:val="24"/>
        </w:rPr>
        <w:t>k</w:t>
      </w:r>
      <w:r>
        <w:rPr>
          <w:rFonts w:ascii="Times New Roman" w:hAnsi="Times New Roman"/>
          <w:b w:val="0"/>
          <w:i w:val="0"/>
          <w:sz w:val="24"/>
        </w:rPr>
        <w:t xml:space="preserve"> = 2, all positive). The arcuate fasciculus emerged as the most consistently implicated white matter tract across DTI studies, with effects persisting after controlling for household income. Effects were detectable from birth, with three neonatal studies implicating prenatal developmental mechanisms. One study reported a negative pattern in the context of migration-related linguistic exposure heterogeneity.</w:t>
      </w:r>
    </w:p>
    <w:p>
      <w:pPr>
        <w:jc w:val="left"/>
        <w:spacing w:before="0" w:after="120" w:line="480" w:lineRule="auto"/>
      </w:pPr>
      <w:r>
        <w:rPr>
          <w:rFonts w:ascii="Times New Roman" w:hAnsi="Times New Roman"/>
          <w:b/>
          <w:i w:val="0"/>
          <w:sz w:val="24"/>
        </w:rPr>
        <w:t>Conclusions:</w:t>
      </w:r>
      <w:r>
        <w:rPr>
          <w:rFonts w:ascii="Times New Roman" w:hAnsi="Times New Roman"/>
          <w:b w:val="0"/>
          <w:i w:val="0"/>
          <w:sz w:val="24"/>
        </w:rPr>
        <w:t xml:space="preserve"> Higher parental education is broadly associated with more advanced neural development from birth through middle childhood. The evidence converges on prefrontal, temporal, and fronto-temporal networks—the neural substrates of language acquisition and executive function. Mechanisms likely operate via cognitive stimulation and language-enriched home environments, with additional evidence for prenatal stress-pathway modulation. These findings suggest that interventions targeting early home language enrichment and caregiving quality may be necessary to reduce socioeconomic disparities in neural development before they consolidate.</w:t>
      </w:r>
    </w:p>
    <w:p>
      <w:pPr>
        <w:jc w:val="left"/>
        <w:spacing w:before="0" w:after="120" w:line="480" w:lineRule="auto"/>
      </w:pPr>
      <w:r>
        <w:rPr>
          <w:rFonts w:ascii="Times New Roman" w:hAnsi="Times New Roman"/>
          <w:b/>
          <w:i w:val="0"/>
          <w:sz w:val="24"/>
        </w:rPr>
        <w:t>Keywords:</w:t>
      </w:r>
      <w:r>
        <w:rPr>
          <w:rFonts w:ascii="Times New Roman" w:hAnsi="Times New Roman"/>
          <w:b w:val="0"/>
          <w:i w:val="0"/>
          <w:sz w:val="24"/>
        </w:rPr>
        <w:t xml:space="preserve"> parental education; socioeconomic status; neural development; EEG; ERP; fNIRS; fMRI; DTI; systematic review; early childhood</w:t>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Among its components, parental education level offers particular advantages for research: it is measured with relatively low error, remains stable across a child's early years, and captures accumulated cognitive and cultural resources that shape the quality of the home learning environment (Bradley &amp; Corwyn, 2002; Hackman &amp; Farah, 2009). Population-based studies consistently show that children of more educated parents perform better on vocabulary, executive function, and academic achievement assessments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myelination of long-range white matter tracts accelerates from birth through middle childhood; and cortical surface area expands rapidly in the first postnatal years before reaching near-adult values (Stiles &amp; Jernigan, 2010; Knickmeyer et al., 2008). These processes are experience-dependent: environmental enrichment supports pruning and myelination, while chronic adversity—operating via stress physiology—can alter their trajectory (McEwen &amp; Gianaros, 2010).</w:t>
      </w:r>
    </w:p>
    <w:p>
      <w:pPr>
        <w:jc w:val="left"/>
        <w:spacing w:before="0" w:after="120" w:line="480" w:lineRule="auto"/>
      </w:pPr>
      <w:r>
        <w:rPr>
          <w:rFonts w:ascii="Times New Roman" w:hAnsi="Times New Roman"/>
          <w:b w:val="0"/>
          <w:i w:val="0"/>
          <w:sz w:val="24"/>
        </w:rPr>
        <w:t xml:space="preserve">The socioeconomic gradient in brain structure and function has been documented in school-age and adolescent samples (Noble et al., 2015; Hackman et al., 2010). However, establishing </w:t>
      </w:r>
      <w:r>
        <w:rPr>
          <w:rFonts w:ascii="Times New Roman" w:hAnsi="Times New Roman"/>
          <w:b w:val="0"/>
          <w:i/>
          <w:sz w:val="24"/>
        </w:rPr>
        <w:t>when</w:t>
      </w:r>
      <w:r>
        <w:rPr>
          <w:rFonts w:ascii="Times New Roman" w:hAnsi="Times New Roman"/>
          <w:b w:val="0"/>
          <w:i w:val="0"/>
          <w:sz w:val="24"/>
        </w:rPr>
        <w:t xml:space="preserve"> in development parental education begins to shape neural outcomes is critical for understanding sensitive periods and for designing early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limitations of the existing literature are notable.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The present review addresses these gaps with three specific aims: (1) to identify studies reporting the independent association between parental education and neural measures in children aged 0–8 years; (2) to synthesize evidence across neural modalities and age windows; and (3) to evaluate candidate mechanisms—cognitive stimulation and chronic stress—supported by the included studies.</w:t>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in accordance with the Preferred Reporting Items for Systematic Reviews and Meta-Analyses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w:t>
      </w:r>
      <w:r>
        <w:rPr>
          <w:rFonts w:ascii="Times New Roman" w:hAnsi="Times New Roman"/>
          <w:b/>
          <w:i w:val="0"/>
          <w:sz w:val="24"/>
        </w:rPr>
        <w:t>16 studies</w:t>
      </w:r>
      <w:r>
        <w:rPr>
          <w:rFonts w:ascii="Times New Roman" w:hAnsi="Times New Roman"/>
          <w:b w:val="0"/>
          <w:i w:val="0"/>
          <w:sz w:val="24"/>
        </w:rPr>
        <w:t xml:space="preserve">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effect of parental education, (c) key statistical findings, and (d) relevant covariates controlled.</w:t>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systematic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 combined sample of approximately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b/>
                <w:i w:val="0"/>
                <w:sz w:val="20"/>
              </w:rPr>
              <w:t>Study</w:t>
            </w:r>
          </w:p>
        </w:tc>
        <w:tc>
          <w:tcPr>
            <w:tcW w:type="dxa" w:w="1040"/>
          </w:tcPr>
          <w:p>
            <w:pPr>
              <w:spacing w:before="0" w:after="0" w:line="276" w:lineRule="auto"/>
            </w:pPr>
            <w:r>
              <w:rPr>
                <w:rFonts w:ascii="Times New Roman" w:hAnsi="Times New Roman"/>
                <w:b/>
                <w:i w:val="0"/>
                <w:sz w:val="20"/>
              </w:rPr>
              <w:t>Country</w:t>
            </w:r>
          </w:p>
        </w:tc>
        <w:tc>
          <w:tcPr>
            <w:tcW w:type="dxa" w:w="1040"/>
          </w:tcPr>
          <w:p>
            <w:pPr>
              <w:spacing w:before="0" w:after="0" w:line="276" w:lineRule="auto"/>
            </w:pPr>
            <w:r>
              <w:rPr>
                <w:rFonts w:ascii="Times New Roman" w:hAnsi="Times New Roman"/>
                <w:b w:val="0"/>
                <w:i/>
                <w:sz w:val="20"/>
              </w:rPr>
              <w:t>N</w:t>
            </w:r>
          </w:p>
        </w:tc>
        <w:tc>
          <w:tcPr>
            <w:tcW w:type="dxa" w:w="1040"/>
          </w:tcPr>
          <w:p>
            <w:pPr>
              <w:spacing w:before="0" w:after="0" w:line="276" w:lineRule="auto"/>
            </w:pPr>
            <w:r>
              <w:rPr>
                <w:rFonts w:ascii="Times New Roman" w:hAnsi="Times New Roman"/>
                <w:b/>
                <w:i w:val="0"/>
                <w:sz w:val="20"/>
              </w:rPr>
              <w:t>Age at measure</w:t>
            </w:r>
          </w:p>
        </w:tc>
        <w:tc>
          <w:tcPr>
            <w:tcW w:type="dxa" w:w="1040"/>
          </w:tcPr>
          <w:p>
            <w:pPr>
              <w:spacing w:before="0" w:after="0" w:line="276" w:lineRule="auto"/>
            </w:pPr>
            <w:r>
              <w:rPr>
                <w:rFonts w:ascii="Times New Roman" w:hAnsi="Times New Roman"/>
                <w:b/>
                <w:i w:val="0"/>
                <w:sz w:val="20"/>
              </w:rPr>
              <w:t>Design</w:t>
            </w:r>
          </w:p>
        </w:tc>
        <w:tc>
          <w:tcPr>
            <w:tcW w:type="dxa" w:w="1040"/>
          </w:tcPr>
          <w:p>
            <w:pPr>
              <w:spacing w:before="0" w:after="0" w:line="276" w:lineRule="auto"/>
            </w:pPr>
            <w:r>
              <w:rPr>
                <w:rFonts w:ascii="Times New Roman" w:hAnsi="Times New Roman"/>
                <w:b/>
                <w:i w:val="0"/>
                <w:sz w:val="20"/>
              </w:rPr>
              <w:t>Modality</w:t>
            </w:r>
          </w:p>
        </w:tc>
        <w:tc>
          <w:tcPr>
            <w:tcW w:type="dxa" w:w="1040"/>
          </w:tcPr>
          <w:p>
            <w:pPr>
              <w:spacing w:before="0" w:after="0" w:line="276" w:lineRule="auto"/>
            </w:pPr>
            <w:r>
              <w:rPr>
                <w:rFonts w:ascii="Times New Roman" w:hAnsi="Times New Roman"/>
                <w:b/>
                <w:i w:val="0"/>
                <w:sz w:val="20"/>
              </w:rPr>
              <w:t>Education operationalization</w:t>
            </w:r>
          </w:p>
        </w:tc>
        <w:tc>
          <w:tcPr>
            <w:tcW w:type="dxa" w:w="1040"/>
          </w:tcPr>
          <w:p>
            <w:pPr>
              <w:spacing w:before="0" w:after="0" w:line="276" w:lineRule="auto"/>
            </w:pPr>
            <w:r>
              <w:rPr>
                <w:rFonts w:ascii="Times New Roman" w:hAnsi="Times New Roman"/>
                <w:b/>
                <w:i w:val="0"/>
                <w:sz w:val="20"/>
              </w:rPr>
              <w:t>Effect direction</w:t>
            </w:r>
          </w:p>
        </w:tc>
        <w:tc>
          <w:tcPr>
            <w:tcW w:type="dxa" w:w="1040"/>
          </w:tcPr>
          <w:p>
            <w:pPr>
              <w:spacing w:before="0" w:after="0" w:line="276" w:lineRule="auto"/>
            </w:pPr>
            <w:r>
              <w:rPr>
                <w:rFonts w:ascii="Times New Roman" w:hAnsi="Times New Roman"/>
                <w:b/>
                <w:i w:val="0"/>
                <w:sz w:val="20"/>
              </w:rPr>
              <w:t>NOS</w:t>
            </w:r>
          </w:p>
        </w:tc>
      </w:tr>
      <w:tr>
        <w:tc>
          <w:tcPr>
            <w:tcW w:type="dxa" w:w="1040"/>
          </w:tcPr>
          <w:p>
            <w:pPr>
              <w:spacing w:before="0" w:after="0" w:line="276" w:lineRule="auto"/>
            </w:pPr>
            <w:r>
              <w:rPr>
                <w:rFonts w:ascii="Times New Roman" w:hAnsi="Times New Roman"/>
                <w:b w:val="0"/>
                <w:i w:val="0"/>
                <w:sz w:val="20"/>
              </w:rPr>
              <w:t>Wienke et al. (2024)</w:t>
            </w:r>
          </w:p>
        </w:tc>
        <w:tc>
          <w:tcPr>
            <w:tcW w:type="dxa" w:w="1040"/>
          </w:tcPr>
          <w:p>
            <w:pPr>
              <w:spacing w:before="0" w:after="0" w:line="276" w:lineRule="auto"/>
            </w:pPr>
            <w:r>
              <w:rPr>
                <w:rFonts w:ascii="Times New Roman" w:hAnsi="Times New Roman"/>
                <w:b w:val="0"/>
                <w:i w:val="0"/>
                <w:sz w:val="20"/>
              </w:rPr>
              <w:t>Germany</w:t>
            </w:r>
          </w:p>
        </w:tc>
        <w:tc>
          <w:tcPr>
            <w:tcW w:type="dxa" w:w="1040"/>
          </w:tcPr>
          <w:p>
            <w:pPr>
              <w:spacing w:before="0" w:after="0" w:line="276" w:lineRule="auto"/>
            </w:pPr>
            <w:r>
              <w:rPr>
                <w:rFonts w:ascii="Times New Roman" w:hAnsi="Times New Roman"/>
                <w:b w:val="0"/>
                <w:i w:val="0"/>
                <w:sz w:val="20"/>
              </w:rPr>
              <w:t>255</w:t>
            </w:r>
          </w:p>
        </w:tc>
        <w:tc>
          <w:tcPr>
            <w:tcW w:type="dxa" w:w="1040"/>
          </w:tcPr>
          <w:p>
            <w:pPr>
              <w:spacing w:before="0" w:after="0" w:line="276" w:lineRule="auto"/>
            </w:pPr>
            <w:r>
              <w:rPr>
                <w:rFonts w:ascii="Times New Roman" w:hAnsi="Times New Roman"/>
                <w:b w:val="0"/>
                <w:i w:val="0"/>
                <w:sz w:val="20"/>
              </w:rPr>
              <w:t>6–14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ERP</w:t>
            </w:r>
          </w:p>
        </w:tc>
        <w:tc>
          <w:tcPr>
            <w:tcW w:type="dxa" w:w="1040"/>
          </w:tcPr>
          <w:p>
            <w:pPr>
              <w:spacing w:before="0" w:after="0" w:line="276" w:lineRule="auto"/>
            </w:pPr>
            <w:r>
              <w:rPr>
                <w:rFonts w:ascii="Times New Roman" w:hAnsi="Times New Roman"/>
                <w:b w:val="0"/>
                <w:i w:val="0"/>
                <w:sz w:val="20"/>
              </w:rPr>
              <w:t>Maternal education (years); composite-separable</w:t>
            </w:r>
          </w:p>
        </w:tc>
        <w:tc>
          <w:tcPr>
            <w:tcW w:type="dxa" w:w="1040"/>
          </w:tcPr>
          <w:p>
            <w:pPr>
              <w:spacing w:before="0" w:after="0" w:line="276" w:lineRule="auto"/>
            </w:pPr>
            <w:r>
              <w:rPr>
                <w:rFonts w:ascii="Times New Roman" w:hAnsi="Times New Roman"/>
                <w:b w:val="0"/>
                <w:i w:val="0"/>
                <w:sz w:val="20"/>
              </w:rPr>
              <w:t>Negative</w:t>
            </w:r>
          </w:p>
        </w:tc>
        <w:tc>
          <w:tcPr>
            <w:tcW w:type="dxa" w:w="1040"/>
          </w:tcPr>
          <w:p>
            <w:pPr>
              <w:spacing w:before="0" w:after="0" w:line="276" w:lineRule="auto"/>
            </w:pPr>
            <w:r>
              <w:rPr>
                <w:rFonts w:ascii="Times New Roman" w:hAnsi="Times New Roman"/>
                <w:b w:val="0"/>
                <w:i w:val="0"/>
                <w:sz w:val="20"/>
              </w:rPr>
              <w:t>6</w:t>
            </w:r>
          </w:p>
        </w:tc>
      </w:tr>
      <w:tr>
        <w:tc>
          <w:tcPr>
            <w:tcW w:type="dxa" w:w="1040"/>
          </w:tcPr>
          <w:p>
            <w:pPr>
              <w:spacing w:before="0" w:after="0" w:line="276" w:lineRule="auto"/>
            </w:pPr>
            <w:r>
              <w:rPr>
                <w:rFonts w:ascii="Times New Roman" w:hAnsi="Times New Roman"/>
                <w:b w:val="0"/>
                <w:i w:val="0"/>
                <w:sz w:val="20"/>
              </w:rPr>
              <w:t>Wijeakumar et al. (2019)</w:t>
            </w:r>
          </w:p>
        </w:tc>
        <w:tc>
          <w:tcPr>
            <w:tcW w:type="dxa" w:w="1040"/>
          </w:tcPr>
          <w:p>
            <w:pPr>
              <w:spacing w:before="0" w:after="0" w:line="276" w:lineRule="auto"/>
            </w:pPr>
            <w:r>
              <w:rPr>
                <w:rFonts w:ascii="Times New Roman" w:hAnsi="Times New Roman"/>
                <w:b w:val="0"/>
                <w:i w:val="0"/>
                <w:sz w:val="20"/>
              </w:rPr>
              <w:t>India</w:t>
            </w:r>
          </w:p>
        </w:tc>
        <w:tc>
          <w:tcPr>
            <w:tcW w:type="dxa" w:w="1040"/>
          </w:tcPr>
          <w:p>
            <w:pPr>
              <w:spacing w:before="0" w:after="0" w:line="276" w:lineRule="auto"/>
            </w:pPr>
            <w:r>
              <w:rPr>
                <w:rFonts w:ascii="Times New Roman" w:hAnsi="Times New Roman"/>
                <w:b w:val="0"/>
                <w:i w:val="0"/>
                <w:sz w:val="20"/>
              </w:rPr>
              <w:t>35</w:t>
            </w:r>
          </w:p>
        </w:tc>
        <w:tc>
          <w:tcPr>
            <w:tcW w:type="dxa" w:w="1040"/>
          </w:tcPr>
          <w:p>
            <w:pPr>
              <w:spacing w:before="0" w:after="0" w:line="276" w:lineRule="auto"/>
            </w:pPr>
            <w:r>
              <w:rPr>
                <w:rFonts w:ascii="Times New Roman" w:hAnsi="Times New Roman"/>
                <w:b w:val="0"/>
                <w:i w:val="0"/>
                <w:sz w:val="20"/>
              </w:rPr>
              <w:t>5–8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fNIRS</w:t>
            </w:r>
          </w:p>
        </w:tc>
        <w:tc>
          <w:tcPr>
            <w:tcW w:type="dxa" w:w="1040"/>
          </w:tcPr>
          <w:p>
            <w:pPr>
              <w:spacing w:before="0" w:after="0" w:line="276" w:lineRule="auto"/>
            </w:pPr>
            <w:r>
              <w:rPr>
                <w:rFonts w:ascii="Times New Roman" w:hAnsi="Times New Roman"/>
                <w:b w:val="0"/>
                <w:i w:val="0"/>
                <w:sz w:val="20"/>
              </w:rPr>
              <w:t>Maternal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6</w:t>
            </w:r>
          </w:p>
        </w:tc>
      </w:tr>
      <w:tr>
        <w:tc>
          <w:tcPr>
            <w:tcW w:type="dxa" w:w="1040"/>
          </w:tcPr>
          <w:p>
            <w:pPr>
              <w:spacing w:before="0" w:after="0" w:line="276" w:lineRule="auto"/>
            </w:pPr>
            <w:r>
              <w:rPr>
                <w:rFonts w:ascii="Times New Roman" w:hAnsi="Times New Roman"/>
                <w:b w:val="0"/>
                <w:i w:val="0"/>
                <w:sz w:val="20"/>
              </w:rPr>
              <w:t>Stiver et al. (2015)</w:t>
            </w:r>
          </w:p>
        </w:tc>
        <w:tc>
          <w:tcPr>
            <w:tcW w:type="dxa" w:w="1040"/>
          </w:tcPr>
          <w:p>
            <w:pPr>
              <w:spacing w:before="0" w:after="0" w:line="276" w:lineRule="auto"/>
            </w:pPr>
            <w:r>
              <w:rPr>
                <w:rFonts w:ascii="Times New Roman" w:hAnsi="Times New Roman"/>
                <w:b w:val="0"/>
                <w:i w:val="0"/>
                <w:sz w:val="20"/>
              </w:rPr>
              <w:t>Canada</w:t>
            </w:r>
          </w:p>
        </w:tc>
        <w:tc>
          <w:tcPr>
            <w:tcW w:type="dxa" w:w="1040"/>
          </w:tcPr>
          <w:p>
            <w:pPr>
              <w:spacing w:before="0" w:after="0" w:line="276" w:lineRule="auto"/>
            </w:pPr>
            <w:r>
              <w:rPr>
                <w:rFonts w:ascii="Times New Roman" w:hAnsi="Times New Roman"/>
                <w:b w:val="0"/>
                <w:i w:val="0"/>
                <w:sz w:val="20"/>
              </w:rPr>
              <w:t>26</w:t>
            </w:r>
          </w:p>
        </w:tc>
        <w:tc>
          <w:tcPr>
            <w:tcW w:type="dxa" w:w="1040"/>
          </w:tcPr>
          <w:p>
            <w:pPr>
              <w:spacing w:before="0" w:after="0" w:line="276" w:lineRule="auto"/>
            </w:pPr>
            <w:r>
              <w:rPr>
                <w:rFonts w:ascii="Times New Roman" w:hAnsi="Times New Roman"/>
                <w:b w:val="0"/>
                <w:i w:val="0"/>
                <w:sz w:val="20"/>
              </w:rPr>
              <w:t>Term-equivalent age → 2 years corrected age (longitudinal)</w:t>
            </w:r>
          </w:p>
        </w:tc>
        <w:tc>
          <w:tcPr>
            <w:tcW w:type="dxa" w:w="1040"/>
          </w:tcPr>
          <w:p>
            <w:pPr>
              <w:spacing w:before="0" w:after="0" w:line="276" w:lineRule="auto"/>
            </w:pPr>
            <w:r>
              <w:rPr>
                <w:rFonts w:ascii="Times New Roman" w:hAnsi="Times New Roman"/>
                <w:b w:val="0"/>
                <w:i w:val="0"/>
                <w:sz w:val="20"/>
              </w:rPr>
              <w:t>Longitudinal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Parental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8</w:t>
            </w:r>
          </w:p>
        </w:tc>
      </w:tr>
      <w:tr>
        <w:tc>
          <w:tcPr>
            <w:tcW w:type="dxa" w:w="1040"/>
          </w:tcPr>
          <w:p>
            <w:pPr>
              <w:spacing w:before="0" w:after="0" w:line="276" w:lineRule="auto"/>
            </w:pPr>
            <w:r>
              <w:rPr>
                <w:rFonts w:ascii="Times New Roman" w:hAnsi="Times New Roman"/>
                <w:b w:val="0"/>
                <w:i w:val="0"/>
                <w:sz w:val="20"/>
              </w:rPr>
              <w:t>Brito &amp; Noble (2020)</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179</w:t>
            </w:r>
          </w:p>
        </w:tc>
        <w:tc>
          <w:tcPr>
            <w:tcW w:type="dxa" w:w="1040"/>
          </w:tcPr>
          <w:p>
            <w:pPr>
              <w:spacing w:before="0" w:after="0" w:line="276" w:lineRule="auto"/>
            </w:pPr>
            <w:r>
              <w:rPr>
                <w:rFonts w:ascii="Times New Roman" w:hAnsi="Times New Roman"/>
                <w:b w:val="0"/>
                <w:i w:val="0"/>
                <w:sz w:val="20"/>
              </w:rPr>
              <w:t>6–12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rsEEG</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6</w:t>
            </w:r>
          </w:p>
        </w:tc>
      </w:tr>
      <w:tr>
        <w:tc>
          <w:tcPr>
            <w:tcW w:type="dxa" w:w="1040"/>
          </w:tcPr>
          <w:p>
            <w:pPr>
              <w:spacing w:before="0" w:after="0" w:line="276" w:lineRule="auto"/>
            </w:pPr>
            <w:r>
              <w:rPr>
                <w:rFonts w:ascii="Times New Roman" w:hAnsi="Times New Roman"/>
                <w:b w:val="0"/>
                <w:i w:val="0"/>
                <w:sz w:val="20"/>
              </w:rPr>
              <w:t>McKinnon et al. (2023)</w:t>
            </w:r>
          </w:p>
        </w:tc>
        <w:tc>
          <w:tcPr>
            <w:tcW w:type="dxa" w:w="1040"/>
          </w:tcPr>
          <w:p>
            <w:pPr>
              <w:spacing w:before="0" w:after="0" w:line="276" w:lineRule="auto"/>
            </w:pPr>
            <w:r>
              <w:rPr>
                <w:rFonts w:ascii="Times New Roman" w:hAnsi="Times New Roman"/>
                <w:b w:val="0"/>
                <w:i w:val="0"/>
                <w:sz w:val="20"/>
              </w:rPr>
              <w:t>UK</w:t>
            </w:r>
          </w:p>
        </w:tc>
        <w:tc>
          <w:tcPr>
            <w:tcW w:type="dxa" w:w="1040"/>
          </w:tcPr>
          <w:p>
            <w:pPr>
              <w:spacing w:before="0" w:after="0" w:line="276" w:lineRule="auto"/>
            </w:pPr>
            <w:r>
              <w:rPr>
                <w:rFonts w:ascii="Times New Roman" w:hAnsi="Times New Roman"/>
                <w:b w:val="0"/>
                <w:i w:val="0"/>
                <w:sz w:val="20"/>
              </w:rPr>
              <w:t>261</w:t>
            </w:r>
          </w:p>
        </w:tc>
        <w:tc>
          <w:tcPr>
            <w:tcW w:type="dxa" w:w="1040"/>
          </w:tcPr>
          <w:p>
            <w:pPr>
              <w:spacing w:before="0" w:after="0" w:line="276" w:lineRule="auto"/>
            </w:pPr>
            <w:r>
              <w:rPr>
                <w:rFonts w:ascii="Times New Roman" w:hAnsi="Times New Roman"/>
                <w:b w:val="0"/>
                <w:i w:val="0"/>
                <w:sz w:val="20"/>
              </w:rPr>
              <w:t>Neonatal</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Maternal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9</w:t>
            </w:r>
          </w:p>
        </w:tc>
      </w:tr>
      <w:tr>
        <w:tc>
          <w:tcPr>
            <w:tcW w:type="dxa" w:w="1040"/>
          </w:tcPr>
          <w:p>
            <w:pPr>
              <w:spacing w:before="0" w:after="0" w:line="276" w:lineRule="auto"/>
            </w:pPr>
            <w:r>
              <w:rPr>
                <w:rFonts w:ascii="Times New Roman" w:hAnsi="Times New Roman"/>
                <w:b w:val="0"/>
                <w:i w:val="0"/>
                <w:sz w:val="20"/>
              </w:rPr>
              <w:t>Zhu et al. (2023)</w:t>
            </w:r>
          </w:p>
        </w:tc>
        <w:tc>
          <w:tcPr>
            <w:tcW w:type="dxa" w:w="1040"/>
          </w:tcPr>
          <w:p>
            <w:pPr>
              <w:spacing w:before="0" w:after="0" w:line="276" w:lineRule="auto"/>
            </w:pPr>
            <w:r>
              <w:rPr>
                <w:rFonts w:ascii="Times New Roman" w:hAnsi="Times New Roman"/>
                <w:b w:val="0"/>
                <w:i w:val="0"/>
                <w:sz w:val="20"/>
              </w:rPr>
              <w:t>USA/UK/Norway</w:t>
            </w:r>
          </w:p>
        </w:tc>
        <w:tc>
          <w:tcPr>
            <w:tcW w:type="dxa" w:w="1040"/>
          </w:tcPr>
          <w:p>
            <w:pPr>
              <w:spacing w:before="0" w:after="0" w:line="276" w:lineRule="auto"/>
            </w:pPr>
            <w:r>
              <w:rPr>
                <w:rFonts w:ascii="Times New Roman" w:hAnsi="Times New Roman"/>
                <w:b w:val="0"/>
                <w:i w:val="0"/>
                <w:sz w:val="20"/>
              </w:rPr>
              <w:t>373</w:t>
            </w:r>
          </w:p>
        </w:tc>
        <w:tc>
          <w:tcPr>
            <w:tcW w:type="dxa" w:w="1040"/>
          </w:tcPr>
          <w:p>
            <w:pPr>
              <w:spacing w:before="0" w:after="0" w:line="276" w:lineRule="auto"/>
            </w:pPr>
            <w:r>
              <w:rPr>
                <w:rFonts w:ascii="Times New Roman" w:hAnsi="Times New Roman"/>
                <w:b w:val="0"/>
                <w:i w:val="0"/>
                <w:sz w:val="20"/>
              </w:rPr>
              <w:t>Birth–8 years</w:t>
            </w:r>
          </w:p>
        </w:tc>
        <w:tc>
          <w:tcPr>
            <w:tcW w:type="dxa" w:w="1040"/>
          </w:tcPr>
          <w:p>
            <w:pPr>
              <w:spacing w:before="0" w:after="0" w:line="276" w:lineRule="auto"/>
            </w:pPr>
            <w:r>
              <w:rPr>
                <w:rFonts w:ascii="Times New Roman" w:hAnsi="Times New Roman"/>
                <w:b w:val="0"/>
                <w:i w:val="0"/>
                <w:sz w:val="20"/>
              </w:rPr>
              <w:t>Longitudinal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Konrad et al. (2024)</w:t>
            </w:r>
          </w:p>
        </w:tc>
        <w:tc>
          <w:tcPr>
            <w:tcW w:type="dxa" w:w="1040"/>
          </w:tcPr>
          <w:p>
            <w:pPr>
              <w:spacing w:before="0" w:after="0" w:line="276" w:lineRule="auto"/>
            </w:pPr>
            <w:r>
              <w:rPr>
                <w:rFonts w:ascii="Times New Roman" w:hAnsi="Times New Roman"/>
                <w:b w:val="0"/>
                <w:i w:val="0"/>
                <w:sz w:val="20"/>
              </w:rPr>
              <w:t>Canada/Germany</w:t>
            </w:r>
          </w:p>
        </w:tc>
        <w:tc>
          <w:tcPr>
            <w:tcW w:type="dxa" w:w="1040"/>
          </w:tcPr>
          <w:p>
            <w:pPr>
              <w:spacing w:before="0" w:after="0" w:line="276" w:lineRule="auto"/>
            </w:pPr>
            <w:r>
              <w:rPr>
                <w:rFonts w:ascii="Times New Roman" w:hAnsi="Times New Roman"/>
                <w:b w:val="0"/>
                <w:i w:val="0"/>
                <w:sz w:val="20"/>
              </w:rPr>
              <w:t>105</w:t>
            </w:r>
          </w:p>
        </w:tc>
        <w:tc>
          <w:tcPr>
            <w:tcW w:type="dxa" w:w="1040"/>
          </w:tcPr>
          <w:p>
            <w:pPr>
              <w:spacing w:before="0" w:after="0" w:line="276" w:lineRule="auto"/>
            </w:pPr>
            <w:r>
              <w:rPr>
                <w:rFonts w:ascii="Times New Roman" w:hAnsi="Times New Roman"/>
                <w:b w:val="0"/>
                <w:i w:val="0"/>
                <w:sz w:val="20"/>
              </w:rPr>
              <w:t>Neonatal</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Maternal education (years);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Demir-Lira et al. (2021)</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42</w:t>
            </w:r>
          </w:p>
        </w:tc>
        <w:tc>
          <w:tcPr>
            <w:tcW w:type="dxa" w:w="1040"/>
          </w:tcPr>
          <w:p>
            <w:pPr>
              <w:spacing w:before="0" w:after="0" w:line="276" w:lineRule="auto"/>
            </w:pPr>
            <w:r>
              <w:rPr>
                <w:rFonts w:ascii="Times New Roman" w:hAnsi="Times New Roman"/>
                <w:b w:val="0"/>
                <w:i w:val="0"/>
                <w:sz w:val="20"/>
              </w:rPr>
              <w:t>6–13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fMRI</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Ramphal et al. (2020)</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112</w:t>
            </w:r>
          </w:p>
        </w:tc>
        <w:tc>
          <w:tcPr>
            <w:tcW w:type="dxa" w:w="1040"/>
          </w:tcPr>
          <w:p>
            <w:pPr>
              <w:spacing w:before="0" w:after="0" w:line="276" w:lineRule="auto"/>
            </w:pPr>
            <w:r>
              <w:rPr>
                <w:rFonts w:ascii="Times New Roman" w:hAnsi="Times New Roman"/>
                <w:b w:val="0"/>
                <w:i w:val="0"/>
                <w:sz w:val="20"/>
              </w:rPr>
              <w:t>Neonatal → 2 years</w:t>
            </w:r>
          </w:p>
        </w:tc>
        <w:tc>
          <w:tcPr>
            <w:tcW w:type="dxa" w:w="1040"/>
          </w:tcPr>
          <w:p>
            <w:pPr>
              <w:spacing w:before="0" w:after="0" w:line="276" w:lineRule="auto"/>
            </w:pPr>
            <w:r>
              <w:rPr>
                <w:rFonts w:ascii="Times New Roman" w:hAnsi="Times New Roman"/>
                <w:b w:val="0"/>
                <w:i w:val="0"/>
                <w:sz w:val="20"/>
              </w:rPr>
              <w:t>Longitudinal</w:t>
            </w:r>
          </w:p>
        </w:tc>
        <w:tc>
          <w:tcPr>
            <w:tcW w:type="dxa" w:w="1040"/>
          </w:tcPr>
          <w:p>
            <w:pPr>
              <w:spacing w:before="0" w:after="0" w:line="276" w:lineRule="auto"/>
            </w:pPr>
            <w:r>
              <w:rPr>
                <w:rFonts w:ascii="Times New Roman" w:hAnsi="Times New Roman"/>
                <w:b w:val="0"/>
                <w:i w:val="0"/>
                <w:sz w:val="20"/>
              </w:rPr>
              <w:t>fMRI</w:t>
            </w:r>
          </w:p>
        </w:tc>
        <w:tc>
          <w:tcPr>
            <w:tcW w:type="dxa" w:w="1040"/>
          </w:tcPr>
          <w:p>
            <w:pPr>
              <w:spacing w:before="0" w:after="0" w:line="276" w:lineRule="auto"/>
            </w:pPr>
            <w:r>
              <w:rPr>
                <w:rFonts w:ascii="Times New Roman" w:hAnsi="Times New Roman"/>
                <w:b w:val="0"/>
                <w:i w:val="0"/>
                <w:sz w:val="20"/>
              </w:rPr>
              <w:t>Parental education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8</w:t>
            </w:r>
          </w:p>
        </w:tc>
      </w:tr>
      <w:tr>
        <w:tc>
          <w:tcPr>
            <w:tcW w:type="dxa" w:w="1040"/>
          </w:tcPr>
          <w:p>
            <w:pPr>
              <w:spacing w:before="0" w:after="0" w:line="276" w:lineRule="auto"/>
            </w:pPr>
            <w:r>
              <w:rPr>
                <w:rFonts w:ascii="Times New Roman" w:hAnsi="Times New Roman"/>
                <w:b w:val="0"/>
                <w:i w:val="0"/>
                <w:sz w:val="20"/>
              </w:rPr>
              <w:t>Ozernov-Palchik et al. (2019)</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125</w:t>
            </w:r>
          </w:p>
        </w:tc>
        <w:tc>
          <w:tcPr>
            <w:tcW w:type="dxa" w:w="1040"/>
          </w:tcPr>
          <w:p>
            <w:pPr>
              <w:spacing w:before="0" w:after="0" w:line="276" w:lineRule="auto"/>
            </w:pPr>
            <w:r>
              <w:rPr>
                <w:rFonts w:ascii="Times New Roman" w:hAnsi="Times New Roman"/>
                <w:b w:val="0"/>
                <w:i w:val="0"/>
                <w:sz w:val="20"/>
              </w:rPr>
              <w:t>5–8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DTI</w:t>
            </w:r>
          </w:p>
        </w:tc>
        <w:tc>
          <w:tcPr>
            <w:tcW w:type="dxa" w:w="1040"/>
          </w:tcPr>
          <w:p>
            <w:pPr>
              <w:spacing w:before="0" w:after="0" w:line="276" w:lineRule="auto"/>
            </w:pPr>
            <w:r>
              <w:rPr>
                <w:rFonts w:ascii="Times New Roman" w:hAnsi="Times New Roman"/>
                <w:b w:val="0"/>
                <w:i w:val="0"/>
                <w:sz w:val="20"/>
              </w:rPr>
              <w:t>Parental education (years);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Turesky et al. (2022)</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38</w:t>
            </w:r>
          </w:p>
        </w:tc>
        <w:tc>
          <w:tcPr>
            <w:tcW w:type="dxa" w:w="1040"/>
          </w:tcPr>
          <w:p>
            <w:pPr>
              <w:spacing w:before="0" w:after="0" w:line="276" w:lineRule="auto"/>
            </w:pPr>
            <w:r>
              <w:rPr>
                <w:rFonts w:ascii="Times New Roman" w:hAnsi="Times New Roman"/>
                <w:b w:val="0"/>
                <w:i w:val="0"/>
                <w:sz w:val="20"/>
              </w:rPr>
              <w:t>~8.6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DTI</w:t>
            </w:r>
          </w:p>
        </w:tc>
        <w:tc>
          <w:tcPr>
            <w:tcW w:type="dxa" w:w="1040"/>
          </w:tcPr>
          <w:p>
            <w:pPr>
              <w:spacing w:before="0" w:after="0" w:line="276" w:lineRule="auto"/>
            </w:pPr>
            <w:r>
              <w:rPr>
                <w:rFonts w:ascii="Times New Roman" w:hAnsi="Times New Roman"/>
                <w:b w:val="0"/>
                <w:i w:val="0"/>
                <w:sz w:val="20"/>
              </w:rPr>
              <w:t>Maternal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Maguire &amp; Schneider (2019)</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90</w:t>
            </w:r>
          </w:p>
        </w:tc>
        <w:tc>
          <w:tcPr>
            <w:tcW w:type="dxa" w:w="1040"/>
          </w:tcPr>
          <w:p>
            <w:pPr>
              <w:spacing w:before="0" w:after="0" w:line="276" w:lineRule="auto"/>
            </w:pPr>
            <w:r>
              <w:rPr>
                <w:rFonts w:ascii="Times New Roman" w:hAnsi="Times New Roman"/>
                <w:b w:val="0"/>
                <w:i w:val="0"/>
                <w:sz w:val="20"/>
              </w:rPr>
              <w:t>8–15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rsEEG</w:t>
            </w:r>
          </w:p>
        </w:tc>
        <w:tc>
          <w:tcPr>
            <w:tcW w:type="dxa" w:w="1040"/>
          </w:tcPr>
          <w:p>
            <w:pPr>
              <w:spacing w:before="0" w:after="0" w:line="276" w:lineRule="auto"/>
            </w:pPr>
            <w:r>
              <w:rPr>
                <w:rFonts w:ascii="Times New Roman" w:hAnsi="Times New Roman"/>
                <w:b w:val="0"/>
                <w:i w:val="0"/>
                <w:sz w:val="20"/>
              </w:rPr>
              <w:t>Maternal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Shephard et al. (2019)</w:t>
            </w:r>
          </w:p>
        </w:tc>
        <w:tc>
          <w:tcPr>
            <w:tcW w:type="dxa" w:w="1040"/>
          </w:tcPr>
          <w:p>
            <w:pPr>
              <w:spacing w:before="0" w:after="0" w:line="276" w:lineRule="auto"/>
            </w:pPr>
            <w:r>
              <w:rPr>
                <w:rFonts w:ascii="Times New Roman" w:hAnsi="Times New Roman"/>
                <w:b w:val="0"/>
                <w:i w:val="0"/>
                <w:sz w:val="20"/>
              </w:rPr>
              <w:t>Brazil</w:t>
            </w:r>
          </w:p>
        </w:tc>
        <w:tc>
          <w:tcPr>
            <w:tcW w:type="dxa" w:w="1040"/>
          </w:tcPr>
          <w:p>
            <w:pPr>
              <w:spacing w:before="0" w:after="0" w:line="276" w:lineRule="auto"/>
            </w:pPr>
            <w:r>
              <w:rPr>
                <w:rFonts w:ascii="Times New Roman" w:hAnsi="Times New Roman"/>
                <w:b w:val="0"/>
                <w:i w:val="0"/>
                <w:sz w:val="20"/>
              </w:rPr>
              <w:t>31</w:t>
            </w:r>
          </w:p>
        </w:tc>
        <w:tc>
          <w:tcPr>
            <w:tcW w:type="dxa" w:w="1040"/>
          </w:tcPr>
          <w:p>
            <w:pPr>
              <w:spacing w:before="0" w:after="0" w:line="276" w:lineRule="auto"/>
            </w:pPr>
            <w:r>
              <w:rPr>
                <w:rFonts w:ascii="Times New Roman" w:hAnsi="Times New Roman"/>
                <w:b w:val="0"/>
                <w:i w:val="0"/>
                <w:sz w:val="20"/>
              </w:rPr>
              <w:t>6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rsEEG</w:t>
            </w:r>
          </w:p>
        </w:tc>
        <w:tc>
          <w:tcPr>
            <w:tcW w:type="dxa" w:w="1040"/>
          </w:tcPr>
          <w:p>
            <w:pPr>
              <w:spacing w:before="0" w:after="0" w:line="276" w:lineRule="auto"/>
            </w:pPr>
            <w:r>
              <w:rPr>
                <w:rFonts w:ascii="Times New Roman" w:hAnsi="Times New Roman"/>
                <w:b w:val="0"/>
                <w:i w:val="0"/>
                <w:sz w:val="20"/>
              </w:rPr>
              <w:t>Maternal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Conejero et al. (2018)</w:t>
            </w:r>
          </w:p>
        </w:tc>
        <w:tc>
          <w:tcPr>
            <w:tcW w:type="dxa" w:w="1040"/>
          </w:tcPr>
          <w:p>
            <w:pPr>
              <w:spacing w:before="0" w:after="0" w:line="276" w:lineRule="auto"/>
            </w:pPr>
            <w:r>
              <w:rPr>
                <w:rFonts w:ascii="Times New Roman" w:hAnsi="Times New Roman"/>
                <w:b w:val="0"/>
                <w:i w:val="0"/>
                <w:sz w:val="20"/>
              </w:rPr>
              <w:t>Spain</w:t>
            </w:r>
          </w:p>
        </w:tc>
        <w:tc>
          <w:tcPr>
            <w:tcW w:type="dxa" w:w="1040"/>
          </w:tcPr>
          <w:p>
            <w:pPr>
              <w:spacing w:before="0" w:after="0" w:line="276" w:lineRule="auto"/>
            </w:pPr>
            <w:r>
              <w:rPr>
                <w:rFonts w:ascii="Times New Roman" w:hAnsi="Times New Roman"/>
                <w:b w:val="0"/>
                <w:i w:val="0"/>
                <w:sz w:val="20"/>
              </w:rPr>
              <w:t>56</w:t>
            </w:r>
          </w:p>
        </w:tc>
        <w:tc>
          <w:tcPr>
            <w:tcW w:type="dxa" w:w="1040"/>
          </w:tcPr>
          <w:p>
            <w:pPr>
              <w:spacing w:before="0" w:after="0" w:line="276" w:lineRule="auto"/>
            </w:pPr>
            <w:r>
              <w:rPr>
                <w:rFonts w:ascii="Times New Roman" w:hAnsi="Times New Roman"/>
                <w:b w:val="0"/>
                <w:i w:val="0"/>
                <w:sz w:val="20"/>
              </w:rPr>
              <w:t>12–30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ERP</w:t>
            </w:r>
          </w:p>
        </w:tc>
        <w:tc>
          <w:tcPr>
            <w:tcW w:type="dxa" w:w="1040"/>
          </w:tcPr>
          <w:p>
            <w:pPr>
              <w:spacing w:before="0" w:after="0" w:line="276" w:lineRule="auto"/>
            </w:pPr>
            <w:r>
              <w:rPr>
                <w:rFonts w:ascii="Times New Roman" w:hAnsi="Times New Roman"/>
                <w:b w:val="0"/>
                <w:i w:val="0"/>
                <w:sz w:val="20"/>
              </w:rPr>
              <w:t>Parental education (years/categorical);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Ursache &amp; Noble (2016)</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107</w:t>
            </w:r>
          </w:p>
        </w:tc>
        <w:tc>
          <w:tcPr>
            <w:tcW w:type="dxa" w:w="1040"/>
          </w:tcPr>
          <w:p>
            <w:pPr>
              <w:spacing w:before="0" w:after="0" w:line="276" w:lineRule="auto"/>
            </w:pPr>
            <w:r>
              <w:rPr>
                <w:rFonts w:ascii="Times New Roman" w:hAnsi="Times New Roman"/>
                <w:b w:val="0"/>
                <w:i w:val="0"/>
                <w:sz w:val="20"/>
              </w:rPr>
              <w:t>3–21 years (focus 6–9y)</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DTI</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8</w:t>
            </w:r>
          </w:p>
        </w:tc>
      </w:tr>
      <w:tr>
        <w:tc>
          <w:tcPr>
            <w:tcW w:type="dxa" w:w="1040"/>
          </w:tcPr>
          <w:p>
            <w:pPr>
              <w:spacing w:before="0" w:after="0" w:line="276" w:lineRule="auto"/>
            </w:pPr>
            <w:r>
              <w:rPr>
                <w:rFonts w:ascii="Times New Roman" w:hAnsi="Times New Roman"/>
                <w:b w:val="0"/>
                <w:i w:val="0"/>
                <w:sz w:val="20"/>
              </w:rPr>
              <w:t>Lange et al. (2010)</w:t>
            </w:r>
          </w:p>
        </w:tc>
        <w:tc>
          <w:tcPr>
            <w:tcW w:type="dxa" w:w="1040"/>
          </w:tcPr>
          <w:p>
            <w:pPr>
              <w:spacing w:before="0" w:after="0" w:line="276" w:lineRule="auto"/>
            </w:pPr>
            <w:r>
              <w:rPr>
                <w:rFonts w:ascii="Times New Roman" w:hAnsi="Times New Roman"/>
                <w:b w:val="0"/>
                <w:i w:val="0"/>
                <w:sz w:val="20"/>
              </w:rPr>
              <w:t>UK</w:t>
            </w:r>
          </w:p>
        </w:tc>
        <w:tc>
          <w:tcPr>
            <w:tcW w:type="dxa" w:w="1040"/>
          </w:tcPr>
          <w:p>
            <w:pPr>
              <w:spacing w:before="0" w:after="0" w:line="276" w:lineRule="auto"/>
            </w:pPr>
            <w:r>
              <w:rPr>
                <w:rFonts w:ascii="Times New Roman" w:hAnsi="Times New Roman"/>
                <w:b w:val="0"/>
                <w:i w:val="0"/>
                <w:sz w:val="20"/>
              </w:rPr>
              <w:t>309</w:t>
            </w:r>
          </w:p>
        </w:tc>
        <w:tc>
          <w:tcPr>
            <w:tcW w:type="dxa" w:w="1040"/>
          </w:tcPr>
          <w:p>
            <w:pPr>
              <w:spacing w:before="0" w:after="0" w:line="276" w:lineRule="auto"/>
            </w:pPr>
            <w:r>
              <w:rPr>
                <w:rFonts w:ascii="Times New Roman" w:hAnsi="Times New Roman"/>
                <w:b w:val="0"/>
                <w:i w:val="0"/>
                <w:sz w:val="20"/>
              </w:rPr>
              <w:t>4–18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Parental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bl>
    <w:p/>
    <w:p>
      <w:pPr>
        <w:jc w:val="left"/>
        <w:spacing w:before="0" w:after="120" w:line="480" w:lineRule="auto"/>
      </w:pPr>
      <w:r>
        <w:rPr>
          <w:rFonts w:ascii="Times New Roman" w:hAnsi="Times New Roman"/>
          <w:b w:val="0"/>
          <w:i/>
          <w:sz w:val="24"/>
        </w:rPr>
        <w:t>Note.</w:t>
      </w:r>
      <w:r>
        <w:rPr>
          <w:rFonts w:ascii="Times New Roman" w:hAnsi="Times New Roman"/>
          <w:b w:val="0"/>
          <w:i w:val="0"/>
          <w:sz w:val="24"/>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4"/>
        </w:rPr>
        <w:t>p</w:t>
      </w:r>
      <w:r>
        <w:rPr>
          <w:rFonts w:ascii="Times New Roman" w:hAnsi="Times New Roman"/>
          <w:b w:val="0"/>
          <w:i w:val="0"/>
          <w:sz w:val="24"/>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Taken together, the five electrophysiological studies converge on the conclusion that higher parental education is associated with more differentiated and mature neural responses across multiple EEG and ERP indices, with convergent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the effects of maternal education on fetal cortical development begin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education—begins shaping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most consistently implicated tract was the arcuate fasciculus, suggesting that parental education effects on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that directly promote synaptic strengthening and myelination in developing neural circuits (Hart &amp; Risley, 1995; Tomalski &amp; Johnson, 2010). Two converging lines of evidence from this review support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most parsimoniously explained by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status—must be the primary driver of observed parental education effects,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The central finding is one of strong directional consistency: 15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effects were detectable in neonates assessed within days of birth (McKinnon et al., 2023; Ramphal et al., 2020; Konrad et al., 2024), establishing that the parental education → neural development pathway begins </w:t>
      </w:r>
      <w:r>
        <w:rPr>
          <w:rFonts w:ascii="Times New Roman" w:hAnsi="Times New Roman"/>
          <w:b w:val="0"/>
          <w:i/>
          <w:sz w:val="24"/>
        </w:rPr>
        <w:t>in utero</w:t>
      </w:r>
      <w:r>
        <w:rPr>
          <w:rFonts w:ascii="Times New Roman" w:hAnsi="Times New Roman"/>
          <w:b w:val="0"/>
          <w:i w:val="0"/>
          <w:sz w:val="24"/>
        </w:rPr>
        <w:t>. Second, across the DTI studies, the arcuate fasciculus was the most consistently implicated white matter tract (Turesky et al., 2022; Ozernov-Palchik et al., 2019), and education effects on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and their findings speaks to the question of when in development parental education effects on neural outcomes first emerge and whether effects are concentrated in particular developmental windows. The neonatal findings (three of 16 studies) establish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effects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exerting their effects on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Cross-modal convergence and neural systems</w:t>
      </w:r>
    </w:p>
    <w:p>
      <w:pPr>
        <w:jc w:val="left"/>
        <w:spacing w:before="0" w:after="120" w:line="480" w:lineRule="auto"/>
      </w:pPr>
      <w:r>
        <w:rPr>
          <w:rFonts w:ascii="Times New Roman" w:hAnsi="Times New Roman"/>
          <w:b w:val="0"/>
          <w:i w:val="0"/>
          <w:sz w:val="24"/>
        </w:rPr>
        <w:t>The convergence of parental education effects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affected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4.4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i w:val="0"/>
          <w:sz w:val="24"/>
        </w:rPr>
        <w:t>Heterogeneity in education operationalization.</w:t>
      </w:r>
      <w:r>
        <w:rPr>
          <w:rFonts w:ascii="Times New Roman" w:hAnsi="Times New Roman"/>
          <w:b w:val="0"/>
          <w:i w:val="0"/>
          <w:sz w:val="24"/>
        </w:rPr>
        <w:t xml:space="preserve"> Across 16 studies, parental education was operationalized in at least six distinct ways (maternal years, paternal years, mean parental years, highest parental level, binary degree attainment, composite-separable). This heterogeneity limits the precision of conclusions about dose–response relationships and makes it impossible to determine whether specific thresholds of educational attainment (e.g., university degree) confer qualitatively different benefits than incremental differences within lower educational levels.</w:t>
      </w:r>
    </w:p>
    <w:p>
      <w:pPr>
        <w:jc w:val="left"/>
        <w:spacing w:before="0" w:after="120" w:line="480" w:lineRule="auto"/>
      </w:pPr>
      <w:r>
        <w:rPr>
          <w:rFonts w:ascii="Times New Roman" w:hAnsi="Times New Roman"/>
          <w:b/>
          <w:i w:val="0"/>
          <w:sz w:val="24"/>
        </w:rPr>
        <w:t>Absence of direct mechanism measurement.</w:t>
      </w:r>
      <w:r>
        <w:rPr>
          <w:rFonts w:ascii="Times New Roman" w:hAnsi="Times New Roman"/>
          <w:b w:val="0"/>
          <w:i w:val="0"/>
          <w:sz w:val="24"/>
        </w:rPr>
        <w:t xml:space="preserve"> As noted in Section 3.6, no included study directly measured the hypothesized mediating variables alongside neural outcomes. The mechanistic pathways proposed—cognitive stimulation and stress reduction—remain inferential from indirect evidence. Specifically designed studies coupling home language environment measurement (e.g., LENA recording), caregiver stress biomarkers, and longitudinal neural assessment are needed to formally test the mechanistic chains.</w:t>
      </w:r>
    </w:p>
    <w:p>
      <w:pPr>
        <w:jc w:val="left"/>
        <w:spacing w:before="0" w:after="120" w:line="480" w:lineRule="auto"/>
      </w:pPr>
      <w:r>
        <w:rPr>
          <w:rFonts w:ascii="Times New Roman" w:hAnsi="Times New Roman"/>
          <w:b/>
          <w:i w:val="0"/>
          <w:sz w:val="24"/>
        </w:rPr>
        <w:t>Geographic and cultural concentration.</w:t>
      </w:r>
      <w:r>
        <w:rPr>
          <w:rFonts w:ascii="Times New Roman" w:hAnsi="Times New Roman"/>
          <w:b w:val="0"/>
          <w:i w:val="0"/>
          <w:sz w:val="24"/>
        </w:rPr>
        <w:t xml:space="preserve">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i w:val="0"/>
          <w:sz w:val="24"/>
        </w:rPr>
        <w:t>Small sample sizes.</w:t>
      </w:r>
      <w:r>
        <w:rPr>
          <w:rFonts w:ascii="Times New Roman" w:hAnsi="Times New Roman"/>
          <w:b w:val="0"/>
          <w:i w:val="0"/>
          <w:sz w:val="24"/>
        </w:rPr>
        <w:t xml:space="preserve"> 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i w:val="0"/>
          <w:sz w:val="24"/>
        </w:rPr>
        <w:t>Unmeasured confounding.</w:t>
      </w:r>
      <w:r>
        <w:rPr>
          <w:rFonts w:ascii="Times New Roman" w:hAnsi="Times New Roman"/>
          <w:b w:val="0"/>
          <w:i w:val="0"/>
          <w:sz w:val="24"/>
        </w:rPr>
        <w:t xml:space="preserve"> 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4.5 Conclusions</w:t>
      </w:r>
    </w:p>
    <w:p>
      <w:pPr>
        <w:jc w:val="left"/>
        <w:spacing w:before="0" w:after="120" w:line="480" w:lineRule="auto"/>
      </w:pPr>
      <w:r>
        <w:rPr>
          <w:rFonts w:ascii="Times New Roman" w:hAnsi="Times New Roman"/>
          <w:b w:val="0"/>
          <w:i w:val="0"/>
          <w:sz w:val="24"/>
        </w:rPr>
        <w:t xml:space="preserve">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effects emerging </w:t>
      </w:r>
      <w:r>
        <w:rPr>
          <w:rFonts w:ascii="Times New Roman" w:hAnsi="Times New Roman"/>
          <w:b w:val="0"/>
          <w:i/>
          <w:sz w:val="24"/>
        </w:rPr>
        <w:t>in utero</w:t>
      </w:r>
      <w:r>
        <w:rPr>
          <w:rFonts w:ascii="Times New Roman" w:hAnsi="Times New Roman"/>
          <w:b w:val="0"/>
          <w:i w:val="0"/>
          <w:sz w:val="24"/>
        </w:rPr>
        <w:t xml:space="preserve">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The present review underscores the importance of treating parental education not merely as a demographic control variable in neurodevelopmental research, but as a substantive predictor of the environmental inputs that shape the developing brain.</w:t>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