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early childhood neural development: a systematic review of EEG, ERP, fNIRS, and neuroimaging evidence (ages 0–8 years)</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Background:</w:t>
      </w:r>
      <w:r>
        <w:rPr>
          <w:rFonts w:ascii="Times New Roman" w:hAnsi="Times New Roman"/>
          <w:b w:val="0"/>
          <w:i w:val="0"/>
          <w:sz w:val="24"/>
        </w:rPr>
        <w:t xml:space="preserve"> Parental education level is a robust predictor of children's cognitive outcomes, yet a cross-modal synthesis of its neural correlates in early childhood is lacking.</w:t>
      </w:r>
    </w:p>
    <w:p>
      <w:pPr>
        <w:jc w:val="left"/>
        <w:spacing w:before="0" w:after="120" w:line="480" w:lineRule="auto"/>
      </w:pPr>
      <w:r>
        <w:rPr>
          <w:rFonts w:ascii="Times New Roman" w:hAnsi="Times New Roman"/>
          <w:b/>
          <w:i w:val="0"/>
          <w:sz w:val="24"/>
        </w:rPr>
        <w:t>Objective:</w:t>
      </w:r>
      <w:r>
        <w:rPr>
          <w:rFonts w:ascii="Times New Roman" w:hAnsi="Times New Roman"/>
          <w:b w:val="0"/>
          <w:i w:val="0"/>
          <w:sz w:val="24"/>
        </w:rPr>
        <w:t xml:space="preserve"> To systematically review associations between parental education and neural development in children aged 0–8 years across EEG, ERP, fNIRS, and neuroimaging modalities.</w:t>
      </w:r>
    </w:p>
    <w:p>
      <w:pPr>
        <w:jc w:val="left"/>
        <w:spacing w:before="0" w:after="120" w:line="480" w:lineRule="auto"/>
      </w:pPr>
      <w:r>
        <w:rPr>
          <w:rFonts w:ascii="Times New Roman" w:hAnsi="Times New Roman"/>
          <w:b/>
          <w:i w:val="0"/>
          <w:sz w:val="24"/>
        </w:rPr>
        <w:t>Methods:</w:t>
      </w:r>
      <w:r>
        <w:rPr>
          <w:rFonts w:ascii="Times New Roman" w:hAnsi="Times New Roman"/>
          <w:b w:val="0"/>
          <w:i w:val="0"/>
          <w:sz w:val="24"/>
        </w:rPr>
        <w:t xml:space="preserve"> We searched PubMed/MEDLINE, PsycINFO, Web of Science, and Scopus (inception to April 2026) following PRISMA 2020 guidelines. Studies were included if parental education had an independently estimable association with a direct neural outcome in children aged 0–8 years. Quality was assessed using the Newcastle–Ottawa Scale.</w:t>
      </w:r>
    </w:p>
    <w:p>
      <w:pPr>
        <w:jc w:val="left"/>
        <w:spacing w:before="0" w:after="120" w:line="480" w:lineRule="auto"/>
      </w:pPr>
      <w:r>
        <w:rPr>
          <w:rFonts w:ascii="Times New Roman" w:hAnsi="Times New Roman"/>
          <w:b/>
          <w:i w:val="0"/>
          <w:sz w:val="24"/>
        </w:rPr>
        <w:t>Results:</w:t>
      </w:r>
      <w:r>
        <w:rPr>
          <w:rFonts w:ascii="Times New Roman" w:hAnsi="Times New Roman"/>
          <w:b w:val="0"/>
          <w:i w:val="0"/>
          <w:sz w:val="24"/>
        </w:rPr>
        <w:t xml:space="preserve"> 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from birth. One study reported a negative pattern attributable to migration-related linguistic heterogeneity.</w:t>
      </w:r>
    </w:p>
    <w:p>
      <w:pPr>
        <w:jc w:val="left"/>
        <w:spacing w:before="0" w:after="120" w:line="480" w:lineRule="auto"/>
      </w:pPr>
      <w:r>
        <w:rPr>
          <w:rFonts w:ascii="Times New Roman" w:hAnsi="Times New Roman"/>
          <w:b/>
          <w:i w:val="0"/>
          <w:sz w:val="24"/>
        </w:rPr>
        <w:t>Conclusions:</w:t>
      </w:r>
      <w:r>
        <w:rPr>
          <w:rFonts w:ascii="Times New Roman" w:hAnsi="Times New Roman"/>
          <w:b w:val="0"/>
          <w:i w:val="0"/>
          <w:sz w:val="24"/>
        </w:rPr>
        <w:t xml:space="preserve"> Higher parental education is associated with more advanced neural development from birth through middle childhood, with convergent evidence across prefrontal and fronto-temporal networks. Findings underscore the importance of early home enrichment programmes for reducing socioeconomic disparities in neural development.</w:t>
      </w:r>
    </w:p>
    <w:p>
      <w:pPr>
        <w:jc w:val="left"/>
        <w:spacing w:before="0" w:after="120" w:line="480" w:lineRule="auto"/>
      </w:pPr>
      <w:r>
        <w:rPr>
          <w:rFonts w:ascii="Times New Roman" w:hAnsi="Times New Roman"/>
          <w:b/>
          <w:i w:val="0"/>
          <w:sz w:val="24"/>
        </w:rPr>
        <w:t>Keywords:</w:t>
      </w:r>
      <w:r>
        <w:rPr>
          <w:rFonts w:ascii="Times New Roman" w:hAnsi="Times New Roman"/>
          <w:b w:val="0"/>
          <w:i w:val="0"/>
          <w:sz w:val="24"/>
        </w:rPr>
        <w:t xml:space="preserve"> parental education; socioeconomic status; neural development; EEG; ERP; fNIRS; fMRI; DTI; systematic review; early childhood</w:t>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Among its components, parental education level offers particular advantages for research: it is measured with relatively low error, remains stable across a child's early years, and captures accumulated cognitive and cultural resources that shape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 xml:space="preserve">The socioeconomic gradient in brain structure and function has been documented in school-age and adolescent samples (Hair et al., 2015; Noble et al., 2015; Hackman et al., 2010). However, establishing </w:t>
      </w:r>
      <w:r>
        <w:rPr>
          <w:rFonts w:ascii="Times New Roman" w:hAnsi="Times New Roman"/>
          <w:b w:val="0"/>
          <w:i/>
          <w:sz w:val="24"/>
        </w:rPr>
        <w:t>when</w:t>
      </w:r>
      <w:r>
        <w:rPr>
          <w:rFonts w:ascii="Times New Roman" w:hAnsi="Times New Roman"/>
          <w:b w:val="0"/>
          <w:i w:val="0"/>
          <w:sz w:val="24"/>
        </w:rPr>
        <w:t xml:space="preserve"> in development parental education begins to shape neural outcomes is critical for understanding sensitive periods and for designing early intervention targets. Studies in neonates and infants—where confounding by the child's own educational experiences is minimal—offer a particularly clean window onto prenatal and earliest postnatal environmental influences.</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limitations of the existing literature are notable.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The present review addresses these gaps with three specific aims: (1) to identify studies reporting the independent association between parental education and neural measures in children aged 0–8 years; (2) to synthesize evidence across neural modalities and age windows; and (3) to evaluate candidate mechanisms—cognitive stimulation and chronic stress—supported by the included studies.</w:t>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in accordance with the Preferred Reporting Items for Systematic Reviews and Meta-Analyses (PRISMA) 2020 guidelines (Page et al., 2021). The review was not pre-registered in PROSPERO; a decision was made to proceed without registration given the descriptive, narrative synthesis design and absence of a protocol suitable for prospective registration at the time data collection commenced.</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obtained for 109 of the 133 records (82%); 24 records were excluded prior to full-text review on the basis of abstract information (22 records), confirmed retraction (1 record), or inability to locate the full text after reasonable effort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w:t>
      </w:r>
      <w:r>
        <w:rPr>
          <w:rFonts w:ascii="Times New Roman" w:hAnsi="Times New Roman"/>
          <w:b/>
          <w:i w:val="0"/>
          <w:sz w:val="24"/>
        </w:rPr>
        <w:t>16 studies</w:t>
      </w:r>
      <w:r>
        <w:rPr>
          <w:rFonts w:ascii="Times New Roman" w:hAnsi="Times New Roman"/>
          <w:b w:val="0"/>
          <w:i w:val="0"/>
          <w:sz w:val="24"/>
        </w:rPr>
        <w:t xml:space="preserve">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87);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4); non-empirical publication type (E4, </w:t>
      </w:r>
      <w:r>
        <w:rPr>
          <w:rFonts w:ascii="Times New Roman" w:hAnsi="Times New Roman"/>
          <w:b w:val="0"/>
          <w:i/>
          <w:sz w:val="24"/>
        </w:rPr>
        <w:t>k</w:t>
      </w:r>
      <w:r>
        <w:rPr>
          <w:rFonts w:ascii="Times New Roman" w:hAnsi="Times New Roman"/>
          <w:b w:val="0"/>
          <w:i w:val="0"/>
          <w:sz w:val="24"/>
        </w:rPr>
        <w:t xml:space="preserve"> = 1); and full text inaccessible (E6,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five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systematic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obtained for 109 records; 24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full text inaccessible, </w:t>
      </w:r>
      <w:r>
        <w:rPr>
          <w:rFonts w:ascii="Times New Roman" w:hAnsi="Times New Roman"/>
          <w:b w:val="0"/>
          <w:i/>
          <w:sz w:val="24"/>
        </w:rPr>
        <w:t>k</w:t>
      </w:r>
      <w:r>
        <w:rPr>
          <w:rFonts w:ascii="Times New Roman" w:hAnsi="Times New Roman"/>
          <w:b w:val="0"/>
          <w:i w:val="0"/>
          <w:sz w:val="24"/>
        </w:rPr>
        <w:t xml:space="preserve"> = 1). Full-text review of 109 records resulted in 93 exclusions, primarily because parental education lacked an independently estimable effect (</w:t>
      </w:r>
      <w:r>
        <w:rPr>
          <w:rFonts w:ascii="Times New Roman" w:hAnsi="Times New Roman"/>
          <w:b w:val="0"/>
          <w:i/>
          <w:sz w:val="24"/>
        </w:rPr>
        <w:t>k</w:t>
      </w:r>
      <w:r>
        <w:rPr>
          <w:rFonts w:ascii="Times New Roman" w:hAnsi="Times New Roman"/>
          <w:b w:val="0"/>
          <w:i w:val="0"/>
          <w:sz w:val="24"/>
        </w:rPr>
        <w:t xml:space="preserve"> = 87).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 combined sample of approximately 2,126 children across 10 countries or regions (United States, United Kingdom, Germany, Canada, Spain, Brazil, India, Norway, and multinational cohorts).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beyond 8 years but reported subgroup analyses or primary effects within the target range.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b/>
                <w:i w:val="0"/>
                <w:sz w:val="20"/>
              </w:rPr>
              <w:t>Study</w:t>
            </w:r>
          </w:p>
        </w:tc>
        <w:tc>
          <w:tcPr>
            <w:tcW w:type="dxa" w:w="1040"/>
          </w:tcPr>
          <w:p>
            <w:pPr>
              <w:spacing w:before="0" w:after="0" w:line="276" w:lineRule="auto"/>
            </w:pPr>
            <w:r>
              <w:rPr>
                <w:rFonts w:ascii="Times New Roman" w:hAnsi="Times New Roman"/>
                <w:b/>
                <w:i w:val="0"/>
                <w:sz w:val="20"/>
              </w:rPr>
              <w:t>Country</w:t>
            </w:r>
          </w:p>
        </w:tc>
        <w:tc>
          <w:tcPr>
            <w:tcW w:type="dxa" w:w="1040"/>
          </w:tcPr>
          <w:p>
            <w:pPr>
              <w:spacing w:before="0" w:after="0" w:line="276" w:lineRule="auto"/>
            </w:pPr>
            <w:r>
              <w:rPr>
                <w:rFonts w:ascii="Times New Roman" w:hAnsi="Times New Roman"/>
                <w:b w:val="0"/>
                <w:i/>
                <w:sz w:val="20"/>
              </w:rPr>
              <w:t>N</w:t>
            </w:r>
          </w:p>
        </w:tc>
        <w:tc>
          <w:tcPr>
            <w:tcW w:type="dxa" w:w="1040"/>
          </w:tcPr>
          <w:p>
            <w:pPr>
              <w:spacing w:before="0" w:after="0" w:line="276" w:lineRule="auto"/>
            </w:pPr>
            <w:r>
              <w:rPr>
                <w:rFonts w:ascii="Times New Roman" w:hAnsi="Times New Roman"/>
                <w:b/>
                <w:i w:val="0"/>
                <w:sz w:val="20"/>
              </w:rPr>
              <w:t>Age at measure</w:t>
            </w:r>
          </w:p>
        </w:tc>
        <w:tc>
          <w:tcPr>
            <w:tcW w:type="dxa" w:w="1040"/>
          </w:tcPr>
          <w:p>
            <w:pPr>
              <w:spacing w:before="0" w:after="0" w:line="276" w:lineRule="auto"/>
            </w:pPr>
            <w:r>
              <w:rPr>
                <w:rFonts w:ascii="Times New Roman" w:hAnsi="Times New Roman"/>
                <w:b/>
                <w:i w:val="0"/>
                <w:sz w:val="20"/>
              </w:rPr>
              <w:t>Design</w:t>
            </w:r>
          </w:p>
        </w:tc>
        <w:tc>
          <w:tcPr>
            <w:tcW w:type="dxa" w:w="1040"/>
          </w:tcPr>
          <w:p>
            <w:pPr>
              <w:spacing w:before="0" w:after="0" w:line="276" w:lineRule="auto"/>
            </w:pPr>
            <w:r>
              <w:rPr>
                <w:rFonts w:ascii="Times New Roman" w:hAnsi="Times New Roman"/>
                <w:b/>
                <w:i w:val="0"/>
                <w:sz w:val="20"/>
              </w:rPr>
              <w:t>Modality</w:t>
            </w:r>
          </w:p>
        </w:tc>
        <w:tc>
          <w:tcPr>
            <w:tcW w:type="dxa" w:w="1040"/>
          </w:tcPr>
          <w:p>
            <w:pPr>
              <w:spacing w:before="0" w:after="0" w:line="276" w:lineRule="auto"/>
            </w:pPr>
            <w:r>
              <w:rPr>
                <w:rFonts w:ascii="Times New Roman" w:hAnsi="Times New Roman"/>
                <w:b/>
                <w:i w:val="0"/>
                <w:sz w:val="20"/>
              </w:rPr>
              <w:t>Education operationalization</w:t>
            </w:r>
          </w:p>
        </w:tc>
        <w:tc>
          <w:tcPr>
            <w:tcW w:type="dxa" w:w="1040"/>
          </w:tcPr>
          <w:p>
            <w:pPr>
              <w:spacing w:before="0" w:after="0" w:line="276" w:lineRule="auto"/>
            </w:pPr>
            <w:r>
              <w:rPr>
                <w:rFonts w:ascii="Times New Roman" w:hAnsi="Times New Roman"/>
                <w:b/>
                <w:i w:val="0"/>
                <w:sz w:val="20"/>
              </w:rPr>
              <w:t>Effect direction</w:t>
            </w:r>
          </w:p>
        </w:tc>
        <w:tc>
          <w:tcPr>
            <w:tcW w:type="dxa" w:w="1040"/>
          </w:tcPr>
          <w:p>
            <w:pPr>
              <w:spacing w:before="0" w:after="0" w:line="276" w:lineRule="auto"/>
            </w:pPr>
            <w:r>
              <w:rPr>
                <w:rFonts w:ascii="Times New Roman" w:hAnsi="Times New Roman"/>
                <w:b/>
                <w:i w:val="0"/>
                <w:sz w:val="20"/>
              </w:rPr>
              <w:t>NOS</w:t>
            </w:r>
          </w:p>
        </w:tc>
      </w:tr>
      <w:tr>
        <w:tc>
          <w:tcPr>
            <w:tcW w:type="dxa" w:w="1040"/>
          </w:tcPr>
          <w:p>
            <w:pPr>
              <w:spacing w:before="0" w:after="0" w:line="276" w:lineRule="auto"/>
            </w:pPr>
            <w:r>
              <w:rPr>
                <w:rFonts w:ascii="Times New Roman" w:hAnsi="Times New Roman"/>
                <w:b w:val="0"/>
                <w:i w:val="0"/>
                <w:sz w:val="20"/>
              </w:rPr>
              <w:t>Wienke et al. (2024)</w:t>
            </w:r>
          </w:p>
        </w:tc>
        <w:tc>
          <w:tcPr>
            <w:tcW w:type="dxa" w:w="1040"/>
          </w:tcPr>
          <w:p>
            <w:pPr>
              <w:spacing w:before="0" w:after="0" w:line="276" w:lineRule="auto"/>
            </w:pPr>
            <w:r>
              <w:rPr>
                <w:rFonts w:ascii="Times New Roman" w:hAnsi="Times New Roman"/>
                <w:b w:val="0"/>
                <w:i w:val="0"/>
                <w:sz w:val="20"/>
              </w:rPr>
              <w:t>Germany</w:t>
            </w:r>
          </w:p>
        </w:tc>
        <w:tc>
          <w:tcPr>
            <w:tcW w:type="dxa" w:w="1040"/>
          </w:tcPr>
          <w:p>
            <w:pPr>
              <w:spacing w:before="0" w:after="0" w:line="276" w:lineRule="auto"/>
            </w:pPr>
            <w:r>
              <w:rPr>
                <w:rFonts w:ascii="Times New Roman" w:hAnsi="Times New Roman"/>
                <w:b w:val="0"/>
                <w:i w:val="0"/>
                <w:sz w:val="20"/>
              </w:rPr>
              <w:t>255</w:t>
            </w:r>
          </w:p>
        </w:tc>
        <w:tc>
          <w:tcPr>
            <w:tcW w:type="dxa" w:w="1040"/>
          </w:tcPr>
          <w:p>
            <w:pPr>
              <w:spacing w:before="0" w:after="0" w:line="276" w:lineRule="auto"/>
            </w:pPr>
            <w:r>
              <w:rPr>
                <w:rFonts w:ascii="Times New Roman" w:hAnsi="Times New Roman"/>
                <w:b w:val="0"/>
                <w:i w:val="0"/>
                <w:sz w:val="20"/>
              </w:rPr>
              <w:t>6–14 months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ERP</w:t>
            </w:r>
          </w:p>
        </w:tc>
        <w:tc>
          <w:tcPr>
            <w:tcW w:type="dxa" w:w="1040"/>
          </w:tcPr>
          <w:p>
            <w:pPr>
              <w:spacing w:before="0" w:after="0" w:line="276" w:lineRule="auto"/>
            </w:pPr>
            <w:r>
              <w:rPr>
                <w:rFonts w:ascii="Times New Roman" w:hAnsi="Times New Roman"/>
                <w:b w:val="0"/>
                <w:i w:val="0"/>
                <w:sz w:val="20"/>
              </w:rPr>
              <w:t>Maternal education (years); composite-separable</w:t>
            </w:r>
          </w:p>
        </w:tc>
        <w:tc>
          <w:tcPr>
            <w:tcW w:type="dxa" w:w="1040"/>
          </w:tcPr>
          <w:p>
            <w:pPr>
              <w:spacing w:before="0" w:after="0" w:line="276" w:lineRule="auto"/>
            </w:pPr>
            <w:r>
              <w:rPr>
                <w:rFonts w:ascii="Times New Roman" w:hAnsi="Times New Roman"/>
                <w:b w:val="0"/>
                <w:i w:val="0"/>
                <w:sz w:val="20"/>
              </w:rPr>
              <w:t>Negative</w:t>
            </w:r>
          </w:p>
        </w:tc>
        <w:tc>
          <w:tcPr>
            <w:tcW w:type="dxa" w:w="1040"/>
          </w:tcPr>
          <w:p>
            <w:pPr>
              <w:spacing w:before="0" w:after="0" w:line="276" w:lineRule="auto"/>
            </w:pPr>
            <w:r>
              <w:rPr>
                <w:rFonts w:ascii="Times New Roman" w:hAnsi="Times New Roman"/>
                <w:b w:val="0"/>
                <w:i w:val="0"/>
                <w:sz w:val="20"/>
              </w:rPr>
              <w:t>6</w:t>
            </w:r>
          </w:p>
        </w:tc>
      </w:tr>
      <w:tr>
        <w:tc>
          <w:tcPr>
            <w:tcW w:type="dxa" w:w="1040"/>
          </w:tcPr>
          <w:p>
            <w:pPr>
              <w:spacing w:before="0" w:after="0" w:line="276" w:lineRule="auto"/>
            </w:pPr>
            <w:r>
              <w:rPr>
                <w:rFonts w:ascii="Times New Roman" w:hAnsi="Times New Roman"/>
                <w:b w:val="0"/>
                <w:i w:val="0"/>
                <w:sz w:val="20"/>
              </w:rPr>
              <w:t>Wijeakumar et al. (2019)</w:t>
            </w:r>
          </w:p>
        </w:tc>
        <w:tc>
          <w:tcPr>
            <w:tcW w:type="dxa" w:w="1040"/>
          </w:tcPr>
          <w:p>
            <w:pPr>
              <w:spacing w:before="0" w:after="0" w:line="276" w:lineRule="auto"/>
            </w:pPr>
            <w:r>
              <w:rPr>
                <w:rFonts w:ascii="Times New Roman" w:hAnsi="Times New Roman"/>
                <w:b w:val="0"/>
                <w:i w:val="0"/>
                <w:sz w:val="20"/>
              </w:rPr>
              <w:t>India</w:t>
            </w:r>
          </w:p>
        </w:tc>
        <w:tc>
          <w:tcPr>
            <w:tcW w:type="dxa" w:w="1040"/>
          </w:tcPr>
          <w:p>
            <w:pPr>
              <w:spacing w:before="0" w:after="0" w:line="276" w:lineRule="auto"/>
            </w:pPr>
            <w:r>
              <w:rPr>
                <w:rFonts w:ascii="Times New Roman" w:hAnsi="Times New Roman"/>
                <w:b w:val="0"/>
                <w:i w:val="0"/>
                <w:sz w:val="20"/>
              </w:rPr>
              <w:t>35</w:t>
            </w:r>
          </w:p>
        </w:tc>
        <w:tc>
          <w:tcPr>
            <w:tcW w:type="dxa" w:w="1040"/>
          </w:tcPr>
          <w:p>
            <w:pPr>
              <w:spacing w:before="0" w:after="0" w:line="276" w:lineRule="auto"/>
            </w:pPr>
            <w:r>
              <w:rPr>
                <w:rFonts w:ascii="Times New Roman" w:hAnsi="Times New Roman"/>
                <w:b w:val="0"/>
                <w:i w:val="0"/>
                <w:sz w:val="20"/>
              </w:rPr>
              <w:t>5–8 years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fNIRS</w:t>
            </w:r>
          </w:p>
        </w:tc>
        <w:tc>
          <w:tcPr>
            <w:tcW w:type="dxa" w:w="1040"/>
          </w:tcPr>
          <w:p>
            <w:pPr>
              <w:spacing w:before="0" w:after="0" w:line="276" w:lineRule="auto"/>
            </w:pPr>
            <w:r>
              <w:rPr>
                <w:rFonts w:ascii="Times New Roman" w:hAnsi="Times New Roman"/>
                <w:b w:val="0"/>
                <w:i w:val="0"/>
                <w:sz w:val="20"/>
              </w:rPr>
              <w:t>Maternal education (categorical);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6</w:t>
            </w:r>
          </w:p>
        </w:tc>
      </w:tr>
      <w:tr>
        <w:tc>
          <w:tcPr>
            <w:tcW w:type="dxa" w:w="1040"/>
          </w:tcPr>
          <w:p>
            <w:pPr>
              <w:spacing w:before="0" w:after="0" w:line="276" w:lineRule="auto"/>
            </w:pPr>
            <w:r>
              <w:rPr>
                <w:rFonts w:ascii="Times New Roman" w:hAnsi="Times New Roman"/>
                <w:b w:val="0"/>
                <w:i w:val="0"/>
                <w:sz w:val="20"/>
              </w:rPr>
              <w:t>Stiver et al. (2015)</w:t>
            </w:r>
          </w:p>
        </w:tc>
        <w:tc>
          <w:tcPr>
            <w:tcW w:type="dxa" w:w="1040"/>
          </w:tcPr>
          <w:p>
            <w:pPr>
              <w:spacing w:before="0" w:after="0" w:line="276" w:lineRule="auto"/>
            </w:pPr>
            <w:r>
              <w:rPr>
                <w:rFonts w:ascii="Times New Roman" w:hAnsi="Times New Roman"/>
                <w:b w:val="0"/>
                <w:i w:val="0"/>
                <w:sz w:val="20"/>
              </w:rPr>
              <w:t>Canada</w:t>
            </w:r>
          </w:p>
        </w:tc>
        <w:tc>
          <w:tcPr>
            <w:tcW w:type="dxa" w:w="1040"/>
          </w:tcPr>
          <w:p>
            <w:pPr>
              <w:spacing w:before="0" w:after="0" w:line="276" w:lineRule="auto"/>
            </w:pPr>
            <w:r>
              <w:rPr>
                <w:rFonts w:ascii="Times New Roman" w:hAnsi="Times New Roman"/>
                <w:b w:val="0"/>
                <w:i w:val="0"/>
                <w:sz w:val="20"/>
              </w:rPr>
              <w:t>26</w:t>
            </w:r>
          </w:p>
        </w:tc>
        <w:tc>
          <w:tcPr>
            <w:tcW w:type="dxa" w:w="1040"/>
          </w:tcPr>
          <w:p>
            <w:pPr>
              <w:spacing w:before="0" w:after="0" w:line="276" w:lineRule="auto"/>
            </w:pPr>
            <w:r>
              <w:rPr>
                <w:rFonts w:ascii="Times New Roman" w:hAnsi="Times New Roman"/>
                <w:b w:val="0"/>
                <w:i w:val="0"/>
                <w:sz w:val="20"/>
              </w:rPr>
              <w:t>Term-equivalent age → 2 years corrected age (longitudinal)</w:t>
            </w:r>
          </w:p>
        </w:tc>
        <w:tc>
          <w:tcPr>
            <w:tcW w:type="dxa" w:w="1040"/>
          </w:tcPr>
          <w:p>
            <w:pPr>
              <w:spacing w:before="0" w:after="0" w:line="276" w:lineRule="auto"/>
            </w:pPr>
            <w:r>
              <w:rPr>
                <w:rFonts w:ascii="Times New Roman" w:hAnsi="Times New Roman"/>
                <w:b w:val="0"/>
                <w:i w:val="0"/>
                <w:sz w:val="20"/>
              </w:rPr>
              <w:t>Longitudinal</w:t>
            </w:r>
          </w:p>
        </w:tc>
        <w:tc>
          <w:tcPr>
            <w:tcW w:type="dxa" w:w="1040"/>
          </w:tcPr>
          <w:p>
            <w:pPr>
              <w:spacing w:before="0" w:after="0" w:line="276" w:lineRule="auto"/>
            </w:pPr>
            <w:r>
              <w:rPr>
                <w:rFonts w:ascii="Times New Roman" w:hAnsi="Times New Roman"/>
                <w:b w:val="0"/>
                <w:i w:val="0"/>
                <w:sz w:val="20"/>
              </w:rPr>
              <w:t>sMRI</w:t>
            </w:r>
          </w:p>
        </w:tc>
        <w:tc>
          <w:tcPr>
            <w:tcW w:type="dxa" w:w="1040"/>
          </w:tcPr>
          <w:p>
            <w:pPr>
              <w:spacing w:before="0" w:after="0" w:line="276" w:lineRule="auto"/>
            </w:pPr>
            <w:r>
              <w:rPr>
                <w:rFonts w:ascii="Times New Roman" w:hAnsi="Times New Roman"/>
                <w:b w:val="0"/>
                <w:i w:val="0"/>
                <w:sz w:val="20"/>
              </w:rPr>
              <w:t>Parental education (categorical);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8</w:t>
            </w:r>
          </w:p>
        </w:tc>
      </w:tr>
      <w:tr>
        <w:tc>
          <w:tcPr>
            <w:tcW w:type="dxa" w:w="1040"/>
          </w:tcPr>
          <w:p>
            <w:pPr>
              <w:spacing w:before="0" w:after="0" w:line="276" w:lineRule="auto"/>
            </w:pPr>
            <w:r>
              <w:rPr>
                <w:rFonts w:ascii="Times New Roman" w:hAnsi="Times New Roman"/>
                <w:b w:val="0"/>
                <w:i w:val="0"/>
                <w:sz w:val="20"/>
              </w:rPr>
              <w:t>Brito &amp; Noble (2020)</w:t>
            </w:r>
          </w:p>
        </w:tc>
        <w:tc>
          <w:tcPr>
            <w:tcW w:type="dxa" w:w="1040"/>
          </w:tcPr>
          <w:p>
            <w:pPr>
              <w:spacing w:before="0" w:after="0" w:line="276" w:lineRule="auto"/>
            </w:pPr>
            <w:r>
              <w:rPr>
                <w:rFonts w:ascii="Times New Roman" w:hAnsi="Times New Roman"/>
                <w:b w:val="0"/>
                <w:i w:val="0"/>
                <w:sz w:val="20"/>
              </w:rPr>
              <w:t>USA</w:t>
            </w:r>
          </w:p>
        </w:tc>
        <w:tc>
          <w:tcPr>
            <w:tcW w:type="dxa" w:w="1040"/>
          </w:tcPr>
          <w:p>
            <w:pPr>
              <w:spacing w:before="0" w:after="0" w:line="276" w:lineRule="auto"/>
            </w:pPr>
            <w:r>
              <w:rPr>
                <w:rFonts w:ascii="Times New Roman" w:hAnsi="Times New Roman"/>
                <w:b w:val="0"/>
                <w:i w:val="0"/>
                <w:sz w:val="20"/>
              </w:rPr>
              <w:t>179</w:t>
            </w:r>
          </w:p>
        </w:tc>
        <w:tc>
          <w:tcPr>
            <w:tcW w:type="dxa" w:w="1040"/>
          </w:tcPr>
          <w:p>
            <w:pPr>
              <w:spacing w:before="0" w:after="0" w:line="276" w:lineRule="auto"/>
            </w:pPr>
            <w:r>
              <w:rPr>
                <w:rFonts w:ascii="Times New Roman" w:hAnsi="Times New Roman"/>
                <w:b w:val="0"/>
                <w:i w:val="0"/>
                <w:sz w:val="20"/>
              </w:rPr>
              <w:t>6–12 months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rsEEG</w:t>
            </w:r>
          </w:p>
        </w:tc>
        <w:tc>
          <w:tcPr>
            <w:tcW w:type="dxa" w:w="1040"/>
          </w:tcPr>
          <w:p>
            <w:pPr>
              <w:spacing w:before="0" w:after="0" w:line="276" w:lineRule="auto"/>
            </w:pPr>
            <w:r>
              <w:rPr>
                <w:rFonts w:ascii="Times New Roman" w:hAnsi="Times New Roman"/>
                <w:b w:val="0"/>
                <w:i w:val="0"/>
                <w:sz w:val="20"/>
              </w:rPr>
              <w:t>Parental education (years); composite-separable</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6</w:t>
            </w:r>
          </w:p>
        </w:tc>
      </w:tr>
      <w:tr>
        <w:tc>
          <w:tcPr>
            <w:tcW w:type="dxa" w:w="1040"/>
          </w:tcPr>
          <w:p>
            <w:pPr>
              <w:spacing w:before="0" w:after="0" w:line="276" w:lineRule="auto"/>
            </w:pPr>
            <w:r>
              <w:rPr>
                <w:rFonts w:ascii="Times New Roman" w:hAnsi="Times New Roman"/>
                <w:b w:val="0"/>
                <w:i w:val="0"/>
                <w:sz w:val="20"/>
              </w:rPr>
              <w:t>McKinnon et al. (2023)</w:t>
            </w:r>
          </w:p>
        </w:tc>
        <w:tc>
          <w:tcPr>
            <w:tcW w:type="dxa" w:w="1040"/>
          </w:tcPr>
          <w:p>
            <w:pPr>
              <w:spacing w:before="0" w:after="0" w:line="276" w:lineRule="auto"/>
            </w:pPr>
            <w:r>
              <w:rPr>
                <w:rFonts w:ascii="Times New Roman" w:hAnsi="Times New Roman"/>
                <w:b w:val="0"/>
                <w:i w:val="0"/>
                <w:sz w:val="20"/>
              </w:rPr>
              <w:t>UK</w:t>
            </w:r>
          </w:p>
        </w:tc>
        <w:tc>
          <w:tcPr>
            <w:tcW w:type="dxa" w:w="1040"/>
          </w:tcPr>
          <w:p>
            <w:pPr>
              <w:spacing w:before="0" w:after="0" w:line="276" w:lineRule="auto"/>
            </w:pPr>
            <w:r>
              <w:rPr>
                <w:rFonts w:ascii="Times New Roman" w:hAnsi="Times New Roman"/>
                <w:b w:val="0"/>
                <w:i w:val="0"/>
                <w:sz w:val="20"/>
              </w:rPr>
              <w:t>261</w:t>
            </w:r>
          </w:p>
        </w:tc>
        <w:tc>
          <w:tcPr>
            <w:tcW w:type="dxa" w:w="1040"/>
          </w:tcPr>
          <w:p>
            <w:pPr>
              <w:spacing w:before="0" w:after="0" w:line="276" w:lineRule="auto"/>
            </w:pPr>
            <w:r>
              <w:rPr>
                <w:rFonts w:ascii="Times New Roman" w:hAnsi="Times New Roman"/>
                <w:b w:val="0"/>
                <w:i w:val="0"/>
                <w:sz w:val="20"/>
              </w:rPr>
              <w:t>Neonatal</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sMRI</w:t>
            </w:r>
          </w:p>
        </w:tc>
        <w:tc>
          <w:tcPr>
            <w:tcW w:type="dxa" w:w="1040"/>
          </w:tcPr>
          <w:p>
            <w:pPr>
              <w:spacing w:before="0" w:after="0" w:line="276" w:lineRule="auto"/>
            </w:pPr>
            <w:r>
              <w:rPr>
                <w:rFonts w:ascii="Times New Roman" w:hAnsi="Times New Roman"/>
                <w:b w:val="0"/>
                <w:i w:val="0"/>
                <w:sz w:val="20"/>
              </w:rPr>
              <w:t>Maternal education (categorical);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9</w:t>
            </w:r>
          </w:p>
        </w:tc>
      </w:tr>
      <w:tr>
        <w:tc>
          <w:tcPr>
            <w:tcW w:type="dxa" w:w="1040"/>
          </w:tcPr>
          <w:p>
            <w:pPr>
              <w:spacing w:before="0" w:after="0" w:line="276" w:lineRule="auto"/>
            </w:pPr>
            <w:r>
              <w:rPr>
                <w:rFonts w:ascii="Times New Roman" w:hAnsi="Times New Roman"/>
                <w:b w:val="0"/>
                <w:i w:val="0"/>
                <w:sz w:val="20"/>
              </w:rPr>
              <w:t>Zhu et al. (2023)</w:t>
            </w:r>
          </w:p>
        </w:tc>
        <w:tc>
          <w:tcPr>
            <w:tcW w:type="dxa" w:w="1040"/>
          </w:tcPr>
          <w:p>
            <w:pPr>
              <w:spacing w:before="0" w:after="0" w:line="276" w:lineRule="auto"/>
            </w:pPr>
            <w:r>
              <w:rPr>
                <w:rFonts w:ascii="Times New Roman" w:hAnsi="Times New Roman"/>
                <w:b w:val="0"/>
                <w:i w:val="0"/>
                <w:sz w:val="20"/>
              </w:rPr>
              <w:t>USA/UK/Norway</w:t>
            </w:r>
          </w:p>
        </w:tc>
        <w:tc>
          <w:tcPr>
            <w:tcW w:type="dxa" w:w="1040"/>
          </w:tcPr>
          <w:p>
            <w:pPr>
              <w:spacing w:before="0" w:after="0" w:line="276" w:lineRule="auto"/>
            </w:pPr>
            <w:r>
              <w:rPr>
                <w:rFonts w:ascii="Times New Roman" w:hAnsi="Times New Roman"/>
                <w:b w:val="0"/>
                <w:i w:val="0"/>
                <w:sz w:val="20"/>
              </w:rPr>
              <w:t>373</w:t>
            </w:r>
          </w:p>
        </w:tc>
        <w:tc>
          <w:tcPr>
            <w:tcW w:type="dxa" w:w="1040"/>
          </w:tcPr>
          <w:p>
            <w:pPr>
              <w:spacing w:before="0" w:after="0" w:line="276" w:lineRule="auto"/>
            </w:pPr>
            <w:r>
              <w:rPr>
                <w:rFonts w:ascii="Times New Roman" w:hAnsi="Times New Roman"/>
                <w:b w:val="0"/>
                <w:i w:val="0"/>
                <w:sz w:val="20"/>
              </w:rPr>
              <w:t>Birth–8 years</w:t>
            </w:r>
          </w:p>
        </w:tc>
        <w:tc>
          <w:tcPr>
            <w:tcW w:type="dxa" w:w="1040"/>
          </w:tcPr>
          <w:p>
            <w:pPr>
              <w:spacing w:before="0" w:after="0" w:line="276" w:lineRule="auto"/>
            </w:pPr>
            <w:r>
              <w:rPr>
                <w:rFonts w:ascii="Times New Roman" w:hAnsi="Times New Roman"/>
                <w:b w:val="0"/>
                <w:i w:val="0"/>
                <w:sz w:val="20"/>
              </w:rPr>
              <w:t>Longitudinal</w:t>
            </w:r>
          </w:p>
        </w:tc>
        <w:tc>
          <w:tcPr>
            <w:tcW w:type="dxa" w:w="1040"/>
          </w:tcPr>
          <w:p>
            <w:pPr>
              <w:spacing w:before="0" w:after="0" w:line="276" w:lineRule="auto"/>
            </w:pPr>
            <w:r>
              <w:rPr>
                <w:rFonts w:ascii="Times New Roman" w:hAnsi="Times New Roman"/>
                <w:b w:val="0"/>
                <w:i w:val="0"/>
                <w:sz w:val="20"/>
              </w:rPr>
              <w:t>sMRI</w:t>
            </w:r>
          </w:p>
        </w:tc>
        <w:tc>
          <w:tcPr>
            <w:tcW w:type="dxa" w:w="1040"/>
          </w:tcPr>
          <w:p>
            <w:pPr>
              <w:spacing w:before="0" w:after="0" w:line="276" w:lineRule="auto"/>
            </w:pPr>
            <w:r>
              <w:rPr>
                <w:rFonts w:ascii="Times New Roman" w:hAnsi="Times New Roman"/>
                <w:b w:val="0"/>
                <w:i w:val="0"/>
                <w:sz w:val="20"/>
              </w:rPr>
              <w:t>Parental education (years); composite-separable</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Konrad et al. (2024)</w:t>
            </w:r>
          </w:p>
        </w:tc>
        <w:tc>
          <w:tcPr>
            <w:tcW w:type="dxa" w:w="1040"/>
          </w:tcPr>
          <w:p>
            <w:pPr>
              <w:spacing w:before="0" w:after="0" w:line="276" w:lineRule="auto"/>
            </w:pPr>
            <w:r>
              <w:rPr>
                <w:rFonts w:ascii="Times New Roman" w:hAnsi="Times New Roman"/>
                <w:b w:val="0"/>
                <w:i w:val="0"/>
                <w:sz w:val="20"/>
              </w:rPr>
              <w:t>Canada/Germany</w:t>
            </w:r>
          </w:p>
        </w:tc>
        <w:tc>
          <w:tcPr>
            <w:tcW w:type="dxa" w:w="1040"/>
          </w:tcPr>
          <w:p>
            <w:pPr>
              <w:spacing w:before="0" w:after="0" w:line="276" w:lineRule="auto"/>
            </w:pPr>
            <w:r>
              <w:rPr>
                <w:rFonts w:ascii="Times New Roman" w:hAnsi="Times New Roman"/>
                <w:b w:val="0"/>
                <w:i w:val="0"/>
                <w:sz w:val="20"/>
              </w:rPr>
              <w:t>105</w:t>
            </w:r>
          </w:p>
        </w:tc>
        <w:tc>
          <w:tcPr>
            <w:tcW w:type="dxa" w:w="1040"/>
          </w:tcPr>
          <w:p>
            <w:pPr>
              <w:spacing w:before="0" w:after="0" w:line="276" w:lineRule="auto"/>
            </w:pPr>
            <w:r>
              <w:rPr>
                <w:rFonts w:ascii="Times New Roman" w:hAnsi="Times New Roman"/>
                <w:b w:val="0"/>
                <w:i w:val="0"/>
                <w:sz w:val="20"/>
              </w:rPr>
              <w:t>Neonatal</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sMRI</w:t>
            </w:r>
          </w:p>
        </w:tc>
        <w:tc>
          <w:tcPr>
            <w:tcW w:type="dxa" w:w="1040"/>
          </w:tcPr>
          <w:p>
            <w:pPr>
              <w:spacing w:before="0" w:after="0" w:line="276" w:lineRule="auto"/>
            </w:pPr>
            <w:r>
              <w:rPr>
                <w:rFonts w:ascii="Times New Roman" w:hAnsi="Times New Roman"/>
                <w:b w:val="0"/>
                <w:i w:val="0"/>
                <w:sz w:val="20"/>
              </w:rPr>
              <w:t>Maternal education (years);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Demir-Lira et al. (2021)</w:t>
            </w:r>
          </w:p>
        </w:tc>
        <w:tc>
          <w:tcPr>
            <w:tcW w:type="dxa" w:w="1040"/>
          </w:tcPr>
          <w:p>
            <w:pPr>
              <w:spacing w:before="0" w:after="0" w:line="276" w:lineRule="auto"/>
            </w:pPr>
            <w:r>
              <w:rPr>
                <w:rFonts w:ascii="Times New Roman" w:hAnsi="Times New Roman"/>
                <w:b w:val="0"/>
                <w:i w:val="0"/>
                <w:sz w:val="20"/>
              </w:rPr>
              <w:t>USA</w:t>
            </w:r>
          </w:p>
        </w:tc>
        <w:tc>
          <w:tcPr>
            <w:tcW w:type="dxa" w:w="1040"/>
          </w:tcPr>
          <w:p>
            <w:pPr>
              <w:spacing w:before="0" w:after="0" w:line="276" w:lineRule="auto"/>
            </w:pPr>
            <w:r>
              <w:rPr>
                <w:rFonts w:ascii="Times New Roman" w:hAnsi="Times New Roman"/>
                <w:b w:val="0"/>
                <w:i w:val="0"/>
                <w:sz w:val="20"/>
              </w:rPr>
              <w:t>42</w:t>
            </w:r>
          </w:p>
        </w:tc>
        <w:tc>
          <w:tcPr>
            <w:tcW w:type="dxa" w:w="1040"/>
          </w:tcPr>
          <w:p>
            <w:pPr>
              <w:spacing w:before="0" w:after="0" w:line="276" w:lineRule="auto"/>
            </w:pPr>
            <w:r>
              <w:rPr>
                <w:rFonts w:ascii="Times New Roman" w:hAnsi="Times New Roman"/>
                <w:b w:val="0"/>
                <w:i w:val="0"/>
                <w:sz w:val="20"/>
              </w:rPr>
              <w:t>6–13 years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fMRI</w:t>
            </w:r>
          </w:p>
        </w:tc>
        <w:tc>
          <w:tcPr>
            <w:tcW w:type="dxa" w:w="1040"/>
          </w:tcPr>
          <w:p>
            <w:pPr>
              <w:spacing w:before="0" w:after="0" w:line="276" w:lineRule="auto"/>
            </w:pPr>
            <w:r>
              <w:rPr>
                <w:rFonts w:ascii="Times New Roman" w:hAnsi="Times New Roman"/>
                <w:b w:val="0"/>
                <w:i w:val="0"/>
                <w:sz w:val="20"/>
              </w:rPr>
              <w:t>Parental education (years); composite-separable</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Ramphal et al. (2020)</w:t>
            </w:r>
          </w:p>
        </w:tc>
        <w:tc>
          <w:tcPr>
            <w:tcW w:type="dxa" w:w="1040"/>
          </w:tcPr>
          <w:p>
            <w:pPr>
              <w:spacing w:before="0" w:after="0" w:line="276" w:lineRule="auto"/>
            </w:pPr>
            <w:r>
              <w:rPr>
                <w:rFonts w:ascii="Times New Roman" w:hAnsi="Times New Roman"/>
                <w:b w:val="0"/>
                <w:i w:val="0"/>
                <w:sz w:val="20"/>
              </w:rPr>
              <w:t>USA</w:t>
            </w:r>
          </w:p>
        </w:tc>
        <w:tc>
          <w:tcPr>
            <w:tcW w:type="dxa" w:w="1040"/>
          </w:tcPr>
          <w:p>
            <w:pPr>
              <w:spacing w:before="0" w:after="0" w:line="276" w:lineRule="auto"/>
            </w:pPr>
            <w:r>
              <w:rPr>
                <w:rFonts w:ascii="Times New Roman" w:hAnsi="Times New Roman"/>
                <w:b w:val="0"/>
                <w:i w:val="0"/>
                <w:sz w:val="20"/>
              </w:rPr>
              <w:t>112</w:t>
            </w:r>
          </w:p>
        </w:tc>
        <w:tc>
          <w:tcPr>
            <w:tcW w:type="dxa" w:w="1040"/>
          </w:tcPr>
          <w:p>
            <w:pPr>
              <w:spacing w:before="0" w:after="0" w:line="276" w:lineRule="auto"/>
            </w:pPr>
            <w:r>
              <w:rPr>
                <w:rFonts w:ascii="Times New Roman" w:hAnsi="Times New Roman"/>
                <w:b w:val="0"/>
                <w:i w:val="0"/>
                <w:sz w:val="20"/>
              </w:rPr>
              <w:t>Neonatal → 2 years</w:t>
            </w:r>
          </w:p>
        </w:tc>
        <w:tc>
          <w:tcPr>
            <w:tcW w:type="dxa" w:w="1040"/>
          </w:tcPr>
          <w:p>
            <w:pPr>
              <w:spacing w:before="0" w:after="0" w:line="276" w:lineRule="auto"/>
            </w:pPr>
            <w:r>
              <w:rPr>
                <w:rFonts w:ascii="Times New Roman" w:hAnsi="Times New Roman"/>
                <w:b w:val="0"/>
                <w:i w:val="0"/>
                <w:sz w:val="20"/>
              </w:rPr>
              <w:t>Longitudinal</w:t>
            </w:r>
          </w:p>
        </w:tc>
        <w:tc>
          <w:tcPr>
            <w:tcW w:type="dxa" w:w="1040"/>
          </w:tcPr>
          <w:p>
            <w:pPr>
              <w:spacing w:before="0" w:after="0" w:line="276" w:lineRule="auto"/>
            </w:pPr>
            <w:r>
              <w:rPr>
                <w:rFonts w:ascii="Times New Roman" w:hAnsi="Times New Roman"/>
                <w:b w:val="0"/>
                <w:i w:val="0"/>
                <w:sz w:val="20"/>
              </w:rPr>
              <w:t>fMRI</w:t>
            </w:r>
          </w:p>
        </w:tc>
        <w:tc>
          <w:tcPr>
            <w:tcW w:type="dxa" w:w="1040"/>
          </w:tcPr>
          <w:p>
            <w:pPr>
              <w:spacing w:before="0" w:after="0" w:line="276" w:lineRule="auto"/>
            </w:pPr>
            <w:r>
              <w:rPr>
                <w:rFonts w:ascii="Times New Roman" w:hAnsi="Times New Roman"/>
                <w:b w:val="0"/>
                <w:i w:val="0"/>
                <w:sz w:val="20"/>
              </w:rPr>
              <w:t>Parental education (composite-separable)</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8</w:t>
            </w:r>
          </w:p>
        </w:tc>
      </w:tr>
      <w:tr>
        <w:tc>
          <w:tcPr>
            <w:tcW w:type="dxa" w:w="1040"/>
          </w:tcPr>
          <w:p>
            <w:pPr>
              <w:spacing w:before="0" w:after="0" w:line="276" w:lineRule="auto"/>
            </w:pPr>
            <w:r>
              <w:rPr>
                <w:rFonts w:ascii="Times New Roman" w:hAnsi="Times New Roman"/>
                <w:b w:val="0"/>
                <w:i w:val="0"/>
                <w:sz w:val="20"/>
              </w:rPr>
              <w:t>Ozernov-Palchik et al. (2019)</w:t>
            </w:r>
          </w:p>
        </w:tc>
        <w:tc>
          <w:tcPr>
            <w:tcW w:type="dxa" w:w="1040"/>
          </w:tcPr>
          <w:p>
            <w:pPr>
              <w:spacing w:before="0" w:after="0" w:line="276" w:lineRule="auto"/>
            </w:pPr>
            <w:r>
              <w:rPr>
                <w:rFonts w:ascii="Times New Roman" w:hAnsi="Times New Roman"/>
                <w:b w:val="0"/>
                <w:i w:val="0"/>
                <w:sz w:val="20"/>
              </w:rPr>
              <w:t>USA</w:t>
            </w:r>
          </w:p>
        </w:tc>
        <w:tc>
          <w:tcPr>
            <w:tcW w:type="dxa" w:w="1040"/>
          </w:tcPr>
          <w:p>
            <w:pPr>
              <w:spacing w:before="0" w:after="0" w:line="276" w:lineRule="auto"/>
            </w:pPr>
            <w:r>
              <w:rPr>
                <w:rFonts w:ascii="Times New Roman" w:hAnsi="Times New Roman"/>
                <w:b w:val="0"/>
                <w:i w:val="0"/>
                <w:sz w:val="20"/>
              </w:rPr>
              <w:t>125</w:t>
            </w:r>
          </w:p>
        </w:tc>
        <w:tc>
          <w:tcPr>
            <w:tcW w:type="dxa" w:w="1040"/>
          </w:tcPr>
          <w:p>
            <w:pPr>
              <w:spacing w:before="0" w:after="0" w:line="276" w:lineRule="auto"/>
            </w:pPr>
            <w:r>
              <w:rPr>
                <w:rFonts w:ascii="Times New Roman" w:hAnsi="Times New Roman"/>
                <w:b w:val="0"/>
                <w:i w:val="0"/>
                <w:sz w:val="20"/>
              </w:rPr>
              <w:t>5–8 years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DTI</w:t>
            </w:r>
          </w:p>
        </w:tc>
        <w:tc>
          <w:tcPr>
            <w:tcW w:type="dxa" w:w="1040"/>
          </w:tcPr>
          <w:p>
            <w:pPr>
              <w:spacing w:before="0" w:after="0" w:line="276" w:lineRule="auto"/>
            </w:pPr>
            <w:r>
              <w:rPr>
                <w:rFonts w:ascii="Times New Roman" w:hAnsi="Times New Roman"/>
                <w:b w:val="0"/>
                <w:i w:val="0"/>
                <w:sz w:val="20"/>
              </w:rPr>
              <w:t>Parental education (years);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Turesky et al. (2022)</w:t>
            </w:r>
          </w:p>
        </w:tc>
        <w:tc>
          <w:tcPr>
            <w:tcW w:type="dxa" w:w="1040"/>
          </w:tcPr>
          <w:p>
            <w:pPr>
              <w:spacing w:before="0" w:after="0" w:line="276" w:lineRule="auto"/>
            </w:pPr>
            <w:r>
              <w:rPr>
                <w:rFonts w:ascii="Times New Roman" w:hAnsi="Times New Roman"/>
                <w:b w:val="0"/>
                <w:i w:val="0"/>
                <w:sz w:val="20"/>
              </w:rPr>
              <w:t>USA</w:t>
            </w:r>
          </w:p>
        </w:tc>
        <w:tc>
          <w:tcPr>
            <w:tcW w:type="dxa" w:w="1040"/>
          </w:tcPr>
          <w:p>
            <w:pPr>
              <w:spacing w:before="0" w:after="0" w:line="276" w:lineRule="auto"/>
            </w:pPr>
            <w:r>
              <w:rPr>
                <w:rFonts w:ascii="Times New Roman" w:hAnsi="Times New Roman"/>
                <w:b w:val="0"/>
                <w:i w:val="0"/>
                <w:sz w:val="20"/>
              </w:rPr>
              <w:t>38</w:t>
            </w:r>
          </w:p>
        </w:tc>
        <w:tc>
          <w:tcPr>
            <w:tcW w:type="dxa" w:w="1040"/>
          </w:tcPr>
          <w:p>
            <w:pPr>
              <w:spacing w:before="0" w:after="0" w:line="276" w:lineRule="auto"/>
            </w:pPr>
            <w:r>
              <w:rPr>
                <w:rFonts w:ascii="Times New Roman" w:hAnsi="Times New Roman"/>
                <w:b w:val="0"/>
                <w:i w:val="0"/>
                <w:sz w:val="20"/>
              </w:rPr>
              <w:t>~8.6 months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DTI</w:t>
            </w:r>
          </w:p>
        </w:tc>
        <w:tc>
          <w:tcPr>
            <w:tcW w:type="dxa" w:w="1040"/>
          </w:tcPr>
          <w:p>
            <w:pPr>
              <w:spacing w:before="0" w:after="0" w:line="276" w:lineRule="auto"/>
            </w:pPr>
            <w:r>
              <w:rPr>
                <w:rFonts w:ascii="Times New Roman" w:hAnsi="Times New Roman"/>
                <w:b w:val="0"/>
                <w:i w:val="0"/>
                <w:sz w:val="20"/>
              </w:rPr>
              <w:t>Maternal education (years); composite-separable</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Maguire &amp; Schneider (2019)</w:t>
            </w:r>
          </w:p>
        </w:tc>
        <w:tc>
          <w:tcPr>
            <w:tcW w:type="dxa" w:w="1040"/>
          </w:tcPr>
          <w:p>
            <w:pPr>
              <w:spacing w:before="0" w:after="0" w:line="276" w:lineRule="auto"/>
            </w:pPr>
            <w:r>
              <w:rPr>
                <w:rFonts w:ascii="Times New Roman" w:hAnsi="Times New Roman"/>
                <w:b w:val="0"/>
                <w:i w:val="0"/>
                <w:sz w:val="20"/>
              </w:rPr>
              <w:t>USA</w:t>
            </w:r>
          </w:p>
        </w:tc>
        <w:tc>
          <w:tcPr>
            <w:tcW w:type="dxa" w:w="1040"/>
          </w:tcPr>
          <w:p>
            <w:pPr>
              <w:spacing w:before="0" w:after="0" w:line="276" w:lineRule="auto"/>
            </w:pPr>
            <w:r>
              <w:rPr>
                <w:rFonts w:ascii="Times New Roman" w:hAnsi="Times New Roman"/>
                <w:b w:val="0"/>
                <w:i w:val="0"/>
                <w:sz w:val="20"/>
              </w:rPr>
              <w:t>90</w:t>
            </w:r>
          </w:p>
        </w:tc>
        <w:tc>
          <w:tcPr>
            <w:tcW w:type="dxa" w:w="1040"/>
          </w:tcPr>
          <w:p>
            <w:pPr>
              <w:spacing w:before="0" w:after="0" w:line="276" w:lineRule="auto"/>
            </w:pPr>
            <w:r>
              <w:rPr>
                <w:rFonts w:ascii="Times New Roman" w:hAnsi="Times New Roman"/>
                <w:b w:val="0"/>
                <w:i w:val="0"/>
                <w:sz w:val="20"/>
              </w:rPr>
              <w:t>8–15 years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rsEEG</w:t>
            </w:r>
          </w:p>
        </w:tc>
        <w:tc>
          <w:tcPr>
            <w:tcW w:type="dxa" w:w="1040"/>
          </w:tcPr>
          <w:p>
            <w:pPr>
              <w:spacing w:before="0" w:after="0" w:line="276" w:lineRule="auto"/>
            </w:pPr>
            <w:r>
              <w:rPr>
                <w:rFonts w:ascii="Times New Roman" w:hAnsi="Times New Roman"/>
                <w:b w:val="0"/>
                <w:i w:val="0"/>
                <w:sz w:val="20"/>
              </w:rPr>
              <w:t>Maternal education (years); composite-separable</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Shephard et al. (2019)</w:t>
            </w:r>
          </w:p>
        </w:tc>
        <w:tc>
          <w:tcPr>
            <w:tcW w:type="dxa" w:w="1040"/>
          </w:tcPr>
          <w:p>
            <w:pPr>
              <w:spacing w:before="0" w:after="0" w:line="276" w:lineRule="auto"/>
            </w:pPr>
            <w:r>
              <w:rPr>
                <w:rFonts w:ascii="Times New Roman" w:hAnsi="Times New Roman"/>
                <w:b w:val="0"/>
                <w:i w:val="0"/>
                <w:sz w:val="20"/>
              </w:rPr>
              <w:t>Brazil</w:t>
            </w:r>
          </w:p>
        </w:tc>
        <w:tc>
          <w:tcPr>
            <w:tcW w:type="dxa" w:w="1040"/>
          </w:tcPr>
          <w:p>
            <w:pPr>
              <w:spacing w:before="0" w:after="0" w:line="276" w:lineRule="auto"/>
            </w:pPr>
            <w:r>
              <w:rPr>
                <w:rFonts w:ascii="Times New Roman" w:hAnsi="Times New Roman"/>
                <w:b w:val="0"/>
                <w:i w:val="0"/>
                <w:sz w:val="20"/>
              </w:rPr>
              <w:t>31</w:t>
            </w:r>
          </w:p>
        </w:tc>
        <w:tc>
          <w:tcPr>
            <w:tcW w:type="dxa" w:w="1040"/>
          </w:tcPr>
          <w:p>
            <w:pPr>
              <w:spacing w:before="0" w:after="0" w:line="276" w:lineRule="auto"/>
            </w:pPr>
            <w:r>
              <w:rPr>
                <w:rFonts w:ascii="Times New Roman" w:hAnsi="Times New Roman"/>
                <w:b w:val="0"/>
                <w:i w:val="0"/>
                <w:sz w:val="20"/>
              </w:rPr>
              <w:t>6 months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rsEEG</w:t>
            </w:r>
          </w:p>
        </w:tc>
        <w:tc>
          <w:tcPr>
            <w:tcW w:type="dxa" w:w="1040"/>
          </w:tcPr>
          <w:p>
            <w:pPr>
              <w:spacing w:before="0" w:after="0" w:line="276" w:lineRule="auto"/>
            </w:pPr>
            <w:r>
              <w:rPr>
                <w:rFonts w:ascii="Times New Roman" w:hAnsi="Times New Roman"/>
                <w:b w:val="0"/>
                <w:i w:val="0"/>
                <w:sz w:val="20"/>
              </w:rPr>
              <w:t>Maternal education (categorical);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Conejero et al. (2018)</w:t>
            </w:r>
          </w:p>
        </w:tc>
        <w:tc>
          <w:tcPr>
            <w:tcW w:type="dxa" w:w="1040"/>
          </w:tcPr>
          <w:p>
            <w:pPr>
              <w:spacing w:before="0" w:after="0" w:line="276" w:lineRule="auto"/>
            </w:pPr>
            <w:r>
              <w:rPr>
                <w:rFonts w:ascii="Times New Roman" w:hAnsi="Times New Roman"/>
                <w:b w:val="0"/>
                <w:i w:val="0"/>
                <w:sz w:val="20"/>
              </w:rPr>
              <w:t>Spain</w:t>
            </w:r>
          </w:p>
        </w:tc>
        <w:tc>
          <w:tcPr>
            <w:tcW w:type="dxa" w:w="1040"/>
          </w:tcPr>
          <w:p>
            <w:pPr>
              <w:spacing w:before="0" w:after="0" w:line="276" w:lineRule="auto"/>
            </w:pPr>
            <w:r>
              <w:rPr>
                <w:rFonts w:ascii="Times New Roman" w:hAnsi="Times New Roman"/>
                <w:b w:val="0"/>
                <w:i w:val="0"/>
                <w:sz w:val="20"/>
              </w:rPr>
              <w:t>56</w:t>
            </w:r>
          </w:p>
        </w:tc>
        <w:tc>
          <w:tcPr>
            <w:tcW w:type="dxa" w:w="1040"/>
          </w:tcPr>
          <w:p>
            <w:pPr>
              <w:spacing w:before="0" w:after="0" w:line="276" w:lineRule="auto"/>
            </w:pPr>
            <w:r>
              <w:rPr>
                <w:rFonts w:ascii="Times New Roman" w:hAnsi="Times New Roman"/>
                <w:b w:val="0"/>
                <w:i w:val="0"/>
                <w:sz w:val="20"/>
              </w:rPr>
              <w:t>12–30 months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ERP</w:t>
            </w:r>
          </w:p>
        </w:tc>
        <w:tc>
          <w:tcPr>
            <w:tcW w:type="dxa" w:w="1040"/>
          </w:tcPr>
          <w:p>
            <w:pPr>
              <w:spacing w:before="0" w:after="0" w:line="276" w:lineRule="auto"/>
            </w:pPr>
            <w:r>
              <w:rPr>
                <w:rFonts w:ascii="Times New Roman" w:hAnsi="Times New Roman"/>
                <w:b w:val="0"/>
                <w:i w:val="0"/>
                <w:sz w:val="20"/>
              </w:rPr>
              <w:t>Parental education (years/categorical);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r>
        <w:tc>
          <w:tcPr>
            <w:tcW w:type="dxa" w:w="1040"/>
          </w:tcPr>
          <w:p>
            <w:pPr>
              <w:spacing w:before="0" w:after="0" w:line="276" w:lineRule="auto"/>
            </w:pPr>
            <w:r>
              <w:rPr>
                <w:rFonts w:ascii="Times New Roman" w:hAnsi="Times New Roman"/>
                <w:b w:val="0"/>
                <w:i w:val="0"/>
                <w:sz w:val="20"/>
              </w:rPr>
              <w:t>Ursache &amp; Noble (2016)</w:t>
            </w:r>
          </w:p>
        </w:tc>
        <w:tc>
          <w:tcPr>
            <w:tcW w:type="dxa" w:w="1040"/>
          </w:tcPr>
          <w:p>
            <w:pPr>
              <w:spacing w:before="0" w:after="0" w:line="276" w:lineRule="auto"/>
            </w:pPr>
            <w:r>
              <w:rPr>
                <w:rFonts w:ascii="Times New Roman" w:hAnsi="Times New Roman"/>
                <w:b w:val="0"/>
                <w:i w:val="0"/>
                <w:sz w:val="20"/>
              </w:rPr>
              <w:t>USA</w:t>
            </w:r>
          </w:p>
        </w:tc>
        <w:tc>
          <w:tcPr>
            <w:tcW w:type="dxa" w:w="1040"/>
          </w:tcPr>
          <w:p>
            <w:pPr>
              <w:spacing w:before="0" w:after="0" w:line="276" w:lineRule="auto"/>
            </w:pPr>
            <w:r>
              <w:rPr>
                <w:rFonts w:ascii="Times New Roman" w:hAnsi="Times New Roman"/>
                <w:b w:val="0"/>
                <w:i w:val="0"/>
                <w:sz w:val="20"/>
              </w:rPr>
              <w:t>107</w:t>
            </w:r>
          </w:p>
        </w:tc>
        <w:tc>
          <w:tcPr>
            <w:tcW w:type="dxa" w:w="1040"/>
          </w:tcPr>
          <w:p>
            <w:pPr>
              <w:spacing w:before="0" w:after="0" w:line="276" w:lineRule="auto"/>
            </w:pPr>
            <w:r>
              <w:rPr>
                <w:rFonts w:ascii="Times New Roman" w:hAnsi="Times New Roman"/>
                <w:b w:val="0"/>
                <w:i w:val="0"/>
                <w:sz w:val="20"/>
              </w:rPr>
              <w:t>3–21 years (focus 6–9y)</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DTI</w:t>
            </w:r>
          </w:p>
        </w:tc>
        <w:tc>
          <w:tcPr>
            <w:tcW w:type="dxa" w:w="1040"/>
          </w:tcPr>
          <w:p>
            <w:pPr>
              <w:spacing w:before="0" w:after="0" w:line="276" w:lineRule="auto"/>
            </w:pPr>
            <w:r>
              <w:rPr>
                <w:rFonts w:ascii="Times New Roman" w:hAnsi="Times New Roman"/>
                <w:b w:val="0"/>
                <w:i w:val="0"/>
                <w:sz w:val="20"/>
              </w:rPr>
              <w:t>Parental education (years); composite-separable</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8</w:t>
            </w:r>
          </w:p>
        </w:tc>
      </w:tr>
      <w:tr>
        <w:tc>
          <w:tcPr>
            <w:tcW w:type="dxa" w:w="1040"/>
          </w:tcPr>
          <w:p>
            <w:pPr>
              <w:spacing w:before="0" w:after="0" w:line="276" w:lineRule="auto"/>
            </w:pPr>
            <w:r>
              <w:rPr>
                <w:rFonts w:ascii="Times New Roman" w:hAnsi="Times New Roman"/>
                <w:b w:val="0"/>
                <w:i w:val="0"/>
                <w:sz w:val="20"/>
              </w:rPr>
              <w:t>Lange et al. (2010)</w:t>
            </w:r>
          </w:p>
        </w:tc>
        <w:tc>
          <w:tcPr>
            <w:tcW w:type="dxa" w:w="1040"/>
          </w:tcPr>
          <w:p>
            <w:pPr>
              <w:spacing w:before="0" w:after="0" w:line="276" w:lineRule="auto"/>
            </w:pPr>
            <w:r>
              <w:rPr>
                <w:rFonts w:ascii="Times New Roman" w:hAnsi="Times New Roman"/>
                <w:b w:val="0"/>
                <w:i w:val="0"/>
                <w:sz w:val="20"/>
              </w:rPr>
              <w:t>UK</w:t>
            </w:r>
          </w:p>
        </w:tc>
        <w:tc>
          <w:tcPr>
            <w:tcW w:type="dxa" w:w="1040"/>
          </w:tcPr>
          <w:p>
            <w:pPr>
              <w:spacing w:before="0" w:after="0" w:line="276" w:lineRule="auto"/>
            </w:pPr>
            <w:r>
              <w:rPr>
                <w:rFonts w:ascii="Times New Roman" w:hAnsi="Times New Roman"/>
                <w:b w:val="0"/>
                <w:i w:val="0"/>
                <w:sz w:val="20"/>
              </w:rPr>
              <w:t>309</w:t>
            </w:r>
          </w:p>
        </w:tc>
        <w:tc>
          <w:tcPr>
            <w:tcW w:type="dxa" w:w="1040"/>
          </w:tcPr>
          <w:p>
            <w:pPr>
              <w:spacing w:before="0" w:after="0" w:line="276" w:lineRule="auto"/>
            </w:pPr>
            <w:r>
              <w:rPr>
                <w:rFonts w:ascii="Times New Roman" w:hAnsi="Times New Roman"/>
                <w:b w:val="0"/>
                <w:i w:val="0"/>
                <w:sz w:val="20"/>
              </w:rPr>
              <w:t>4–18 years</w:t>
            </w:r>
          </w:p>
        </w:tc>
        <w:tc>
          <w:tcPr>
            <w:tcW w:type="dxa" w:w="1040"/>
          </w:tcPr>
          <w:p>
            <w:pPr>
              <w:spacing w:before="0" w:after="0" w:line="276" w:lineRule="auto"/>
            </w:pPr>
            <w:r>
              <w:rPr>
                <w:rFonts w:ascii="Times New Roman" w:hAnsi="Times New Roman"/>
                <w:b w:val="0"/>
                <w:i w:val="0"/>
                <w:sz w:val="20"/>
              </w:rPr>
              <w:t>Cross-sectional</w:t>
            </w:r>
          </w:p>
        </w:tc>
        <w:tc>
          <w:tcPr>
            <w:tcW w:type="dxa" w:w="1040"/>
          </w:tcPr>
          <w:p>
            <w:pPr>
              <w:spacing w:before="0" w:after="0" w:line="276" w:lineRule="auto"/>
            </w:pPr>
            <w:r>
              <w:rPr>
                <w:rFonts w:ascii="Times New Roman" w:hAnsi="Times New Roman"/>
                <w:b w:val="0"/>
                <w:i w:val="0"/>
                <w:sz w:val="20"/>
              </w:rPr>
              <w:t>sMRI</w:t>
            </w:r>
          </w:p>
        </w:tc>
        <w:tc>
          <w:tcPr>
            <w:tcW w:type="dxa" w:w="1040"/>
          </w:tcPr>
          <w:p>
            <w:pPr>
              <w:spacing w:before="0" w:after="0" w:line="276" w:lineRule="auto"/>
            </w:pPr>
            <w:r>
              <w:rPr>
                <w:rFonts w:ascii="Times New Roman" w:hAnsi="Times New Roman"/>
                <w:b w:val="0"/>
                <w:i w:val="0"/>
                <w:sz w:val="20"/>
              </w:rPr>
              <w:t>Parental education (categorical); edu-only</w:t>
            </w:r>
          </w:p>
        </w:tc>
        <w:tc>
          <w:tcPr>
            <w:tcW w:type="dxa" w:w="1040"/>
          </w:tcPr>
          <w:p>
            <w:pPr>
              <w:spacing w:before="0" w:after="0" w:line="276" w:lineRule="auto"/>
            </w:pPr>
            <w:r>
              <w:rPr>
                <w:rFonts w:ascii="Times New Roman" w:hAnsi="Times New Roman"/>
                <w:b w:val="0"/>
                <w:i w:val="0"/>
                <w:sz w:val="20"/>
              </w:rPr>
              <w:t>Positive</w:t>
            </w:r>
          </w:p>
        </w:tc>
        <w:tc>
          <w:tcPr>
            <w:tcW w:type="dxa" w:w="1040"/>
          </w:tcPr>
          <w:p>
            <w:pPr>
              <w:spacing w:before="0" w:after="0" w:line="276" w:lineRule="auto"/>
            </w:pPr>
            <w:r>
              <w:rPr>
                <w:rFonts w:ascii="Times New Roman" w:hAnsi="Times New Roman"/>
                <w:b w:val="0"/>
                <w:i w:val="0"/>
                <w:sz w:val="20"/>
              </w:rPr>
              <w:t>7</w:t>
            </w:r>
          </w:p>
        </w:tc>
      </w:tr>
    </w:tbl>
    <w:p/>
    <w:p>
      <w:pPr>
        <w:jc w:val="left"/>
        <w:spacing w:before="0" w:after="120" w:line="480" w:lineRule="auto"/>
      </w:pPr>
      <w:r>
        <w:rPr>
          <w:rFonts w:ascii="Times New Roman" w:hAnsi="Times New Roman"/>
          <w:b w:val="0"/>
          <w:i/>
          <w:sz w:val="24"/>
        </w:rPr>
        <w:t>Note.</w:t>
      </w:r>
      <w:r>
        <w:rPr>
          <w:rFonts w:ascii="Times New Roman" w:hAnsi="Times New Roman"/>
          <w:b w:val="0"/>
          <w:i w:val="0"/>
          <w:sz w:val="24"/>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4"/>
        </w:rPr>
        <w:t>p</w:t>
      </w:r>
      <w:r>
        <w:rPr>
          <w:rFonts w:ascii="Times New Roman" w:hAnsi="Times New Roman"/>
          <w:b w:val="0"/>
          <w:i w:val="0"/>
          <w:sz w:val="24"/>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Children from low-income families showed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Beyond these group-level EEG differences, a regression analysis within the same sample revealed that maternal education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controlling for income and raw EEG metrics. This finding suggests that the cognitive consequences of lower maternal education—specifically in the lexical domain—may be partially dissociable from income-related neural differences, pointing to a pathway from maternal education through language input and vocabulary exposure that is not reducible to household financial resources.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Taken together, the five electrophysiological studies converge on the conclusion that higher parental education is associated with more differentiated and mature neural responses across multiple EEG and ERP indices, with convergent evidence from three continents (North America, Europe,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error-related negativity (ERN), an ERP component indexing error monitoring and prefrontal cognitive control, in 56 toddlers (aged 12–30 months) in Spain. Error monitoring was assessed during a go/no-go task, and parental education (years of schooling) was the primary exposure variable. Higher parental education predicted a larger (more negative) ERN amplitude, reflecting stronger neural responses to errors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after controlling for child age and sex. This is notable because the ERN is typically not robust until 5–6 years in Western samples (Davies et al., 2004; Torpey et al., 2009); its detectability in toddlers in this study,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 and the effect size was moderate to large.</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within each sample.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in 261 term-born infants within days of birth in the United Kingdom. Maternal education (university degree vs. lower) was the primary exposure. Higher maternal education was independently associated with larger cortical surface area across multiple frontal, parietal, and temporal regions after FDR correction (</w:t>
      </w:r>
      <w:r>
        <w:rPr>
          <w:rFonts w:ascii="Times New Roman" w:hAnsi="Times New Roman"/>
          <w:b w:val="0"/>
          <w:i/>
          <w:sz w:val="24"/>
        </w:rPr>
        <w:t>β</w:t>
      </w:r>
      <w:r>
        <w:rPr>
          <w:rFonts w:ascii="Times New Roman" w:hAnsi="Times New Roman"/>
          <w:b w:val="0"/>
          <w:i w:val="0"/>
          <w:sz w:val="24"/>
        </w:rPr>
        <w:t xml:space="preserve"> = 0.09–0.15 across regions). Because the infants were assessed at birth, before any direct educational experience of their own, this finding implies that maternal education is associated with fetal cortical development </w:t>
      </w:r>
      <w:r>
        <w:rPr>
          <w:rFonts w:ascii="Times New Roman" w:hAnsi="Times New Roman"/>
          <w:b w:val="0"/>
          <w:i/>
          <w:sz w:val="24"/>
        </w:rPr>
        <w:t>in utero</w:t>
      </w:r>
      <w:r>
        <w:rPr>
          <w:rFonts w:ascii="Times New Roman" w:hAnsi="Times New Roman"/>
          <w:b w:val="0"/>
          <w:i w:val="0"/>
          <w:sz w:val="24"/>
        </w:rPr>
        <w:t>—via prenatal mechanisms such as nutritional status, hormonal stress regulation, or the quality and quantity of prenatal healthcare (Monk et al., 2013). This is the highest-quality study in the review (NOS = 9) and provides particularly strong evidence for an early-emerging, prenatal pathway from maternal education to neural structure.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similarly examined neonatal brain morphology in 105 term newborns from Canada and Germany. The primary finding was a moderation effect rather than a main effect: maternal education (years of schooling) moderated the association between hippocampal volume and a cognitive composite assessed at 6–12 months (</w:t>
      </w:r>
      <w:r>
        <w:rPr>
          <w:rFonts w:ascii="Times New Roman" w:hAnsi="Times New Roman"/>
          <w:b w:val="0"/>
          <w:i/>
          <w:sz w:val="24"/>
        </w:rPr>
        <w:t>p</w:t>
      </w:r>
      <w:r>
        <w:rPr>
          <w:rFonts w:ascii="Times New Roman" w:hAnsi="Times New Roman"/>
          <w:b w:val="0"/>
          <w:i w:val="0"/>
          <w:sz w:val="24"/>
        </w:rPr>
        <w:t xml:space="preserve"> = .005 for the interaction). Specifically, the positive relationship between neonatal hippocampal volume and later cognitive performance was stronger in infants of higher-educated mothers. This pattern suggests that maternal education does not simply shift brain size upward, but rather amplifies the functional significance of existing neural resources—potentially through a richer postnatal learning environment that capitalizes on hippocampal-dependent memory processes during the first year of life.</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toddlers longitudinally in Canada, acquiring structural MRI at multiple time points across the toddler period. Parental education (categorical) predicted total brain volume trajectory, with children of higher-educated parents showing significantly larger volumes at the 2-year assessment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toddler period assessed here—characterized by rapid myelination and synaptic pruning—represents a developmentally sensitive interval for environmental modulation of brain growth.</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language comprehension task in 42 children aged 6–13 years in the United States. Parental education (years of schooling) independently predicted activation in left inferior frontal gyrus during sentence processing after small-volume correction (</w:t>
      </w:r>
      <w:r>
        <w:rPr>
          <w:rFonts w:ascii="Times New Roman" w:hAnsi="Times New Roman"/>
          <w:b w:val="0"/>
          <w:i/>
          <w:sz w:val="24"/>
        </w:rPr>
        <w:t>p</w:t>
      </w:r>
      <w:r>
        <w:rPr>
          <w:rFonts w:ascii="Times New Roman" w:hAnsi="Times New Roman"/>
          <w:b w:val="0"/>
          <w:i w:val="0"/>
          <w:sz w:val="24"/>
        </w:rPr>
        <w:t xml:space="preserve"> &lt; .05, SVC). Left IFG activation during language tasks is associated with phonological processing and syntactic parsing; the finding that parental education, independently of other SES indicators, predicts its recruitment during language comprehension is consistent with a pathway from more linguistically enriched home environments to more efficient language-network engagement.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language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education—may be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that directly promote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converging lines of evidence from this review support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most parsimoniously explained by systematic differences in the quantity and quality of language directed at the child—a dimension of the home environment that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at birth and in the neonatal period (McKinnon et al., 2023; Ramphal et al., 2020; Konrad et al., 2024), prenatal mechanisms—operating via maternal stress physiology and nutritional status—likely contribute substantially to the observed parental education associations, given that postnatal environmental experience had not yet accrued at the time of measurement.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The central finding is one of strong directional consistency: 15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is most plausibly attributable to linguistic exposure heterogeneity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in neonates assessed within days of birth (McKinnon et al., 2023; Ramphal et al., 2020; Konrad et al., 2024), 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and the education–FA association in this tract persisted after controlling for income,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and sensitive periods</w:t>
      </w:r>
    </w:p>
    <w:p>
      <w:pPr>
        <w:jc w:val="left"/>
        <w:spacing w:before="0" w:after="120" w:line="480" w:lineRule="auto"/>
      </w:pPr>
      <w:r>
        <w:rPr>
          <w:rFonts w:ascii="Times New Roman" w:hAnsi="Times New Roman"/>
          <w:b w:val="0"/>
          <w:i w:val="0"/>
          <w:sz w:val="24"/>
        </w:rPr>
        <w:t xml:space="preserve">The age distribution of included studies speaks to the question of when in development parental education associations with neural outcomes are first detectable and whether associations are concentrated in particular developmental windows. The neonatal findings (three of 16 studies) establish associations detectable from birth, consistent with </w:t>
      </w:r>
      <w:r>
        <w:rPr>
          <w:rFonts w:ascii="Times New Roman" w:hAnsi="Times New Roman"/>
          <w:b w:val="0"/>
          <w:i/>
          <w:sz w:val="24"/>
        </w:rPr>
        <w:t>in utero</w:t>
      </w:r>
      <w:r>
        <w:rPr>
          <w:rFonts w:ascii="Times New Roman" w:hAnsi="Times New Roman"/>
          <w:b w:val="0"/>
          <w:i w:val="0"/>
          <w:sz w:val="24"/>
        </w:rPr>
        <w:t xml:space="preserve"> origins. The infant and toddler findings (seven studies) indicate that education-related neural differences are already present and widening in the first two years of life—before formal schooling and before most cognitive assessment instruments can be reliably administered. The school-age findings (six studies) demonstrate that these differences persist into middle childhood, with some evidence that they may be increasing (e.g., Ozernov-Palchik et al., 2019, finding large arcuate FA associations at 5–8 years).</w:t>
      </w:r>
    </w:p>
    <w:p>
      <w:pPr>
        <w:jc w:val="left"/>
        <w:spacing w:before="0" w:after="120" w:line="480" w:lineRule="auto"/>
      </w:pPr>
      <w:r>
        <w:rPr>
          <w:rFonts w:ascii="Times New Roman" w:hAnsi="Times New Roman"/>
          <w:b w:val="0"/>
          <w:i w:val="0"/>
          <w:sz w:val="24"/>
        </w:rPr>
        <w:t>This pattern implies that early intervention is most likely to be effective if initiated in the perinatal and infant periods, when parental education-related environmental exposures—prenatal stress, postnatal language input, caregiving sensitivity—are already associated with differences in developing neural systems. Interventions targeting older preschool or school-age children may still produce benefits, but may be attempting to modify neural systems that have already consolidated SES-related differences over several years of development. This is consistent with the broader early childhood intervention literature emphasizing the importance of the first 1,000 days (Victora et al., 2008; see also Walker et al., 2011).</w:t>
      </w:r>
    </w:p>
    <w:p>
      <w:pPr>
        <w:pStyle w:val="Heading2"/>
        <w:spacing w:before="200" w:after="40" w:line="360" w:lineRule="auto"/>
      </w:pPr>
      <w:r>
        <w:rPr>
          <w:rFonts w:ascii="Times New Roman" w:hAnsi="Times New Roman"/>
          <w:b/>
          <w:sz w:val="26"/>
        </w:rPr>
        <w:t>4.3 Cross-modal convergence and neural systems</w:t>
      </w:r>
    </w:p>
    <w:p>
      <w:pPr>
        <w:jc w:val="left"/>
        <w:spacing w:before="0" w:after="120" w:line="480" w:lineRule="auto"/>
      </w:pPr>
      <w:r>
        <w:rPr>
          <w:rFonts w:ascii="Times New Roman" w:hAnsi="Times New Roman"/>
          <w:b w:val="0"/>
          <w:i w:val="0"/>
          <w:sz w:val="24"/>
        </w:rPr>
        <w:t>The convergence of parental education effects across frontal and temporal neural systems—regardless of modality—supports a coherent account centered on prefrontal and perisylvian circuitry. In ERP studies, the most consistent finding was greater frontal activation (larger ERN amplitude at fronto-central electrodes) in children of more educated parents. In fNIRS, greater inferior frontal gyrus activation was found. In fMRI, effects clustered in medial prefrontal cortex (amygdala–PFC connectivity; DMN connectivity) and left inferior frontal gyrus (language network). In DTI, the arcuate fasciculus—projecting between inferior frontal and superior temporal cortex—was the most consistently affected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 DMN).</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4.4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i w:val="0"/>
          <w:sz w:val="24"/>
        </w:rPr>
        <w:t>Heterogeneity in education operationalization.</w:t>
      </w:r>
      <w:r>
        <w:rPr>
          <w:rFonts w:ascii="Times New Roman" w:hAnsi="Times New Roman"/>
          <w:b w:val="0"/>
          <w:i w:val="0"/>
          <w:sz w:val="24"/>
        </w:rPr>
        <w:t xml:space="preserve"> Across 16 studies, parental education was operationalized in at least six distinct ways (maternal years, paternal years, mean parental years, highest parental level, binary degree attainment, composite-separable). Notably, 14 of 16 studies relied primarily on maternal education; only two studies used highest-parental or combined-parental measures.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Conclusions should therefore be read primarily as reflecting associations with maternal educational attainment.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i w:val="0"/>
          <w:sz w:val="24"/>
        </w:rPr>
        <w:t>Absence of direct mechanism measurement.</w:t>
      </w:r>
      <w:r>
        <w:rPr>
          <w:rFonts w:ascii="Times New Roman" w:hAnsi="Times New Roman"/>
          <w:b w:val="0"/>
          <w:i w:val="0"/>
          <w:sz w:val="24"/>
        </w:rPr>
        <w:t xml:space="preserve"> As noted in Section 3.6, no included study directly measured the hypothesized mediating variables alongside neural outcomes.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i w:val="0"/>
          <w:sz w:val="24"/>
        </w:rPr>
        <w:t>Geographic and cultural concentration.</w:t>
      </w:r>
      <w:r>
        <w:rPr>
          <w:rFonts w:ascii="Times New Roman" w:hAnsi="Times New Roman"/>
          <w:b w:val="0"/>
          <w:i w:val="0"/>
          <w:sz w:val="24"/>
        </w:rPr>
        <w:t xml:space="preserve"> Despite spanning 10 countries,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i w:val="0"/>
          <w:sz w:val="24"/>
        </w:rPr>
        <w:t>Small sample sizes.</w:t>
      </w:r>
      <w:r>
        <w:rPr>
          <w:rFonts w:ascii="Times New Roman" w:hAnsi="Times New Roman"/>
          <w:b w:val="0"/>
          <w:i w:val="0"/>
          <w:sz w:val="24"/>
        </w:rPr>
        <w:t xml:space="preserve"> 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i w:val="0"/>
          <w:sz w:val="24"/>
        </w:rPr>
        <w:t>Unmeasured confounding.</w:t>
      </w:r>
      <w:r>
        <w:rPr>
          <w:rFonts w:ascii="Times New Roman" w:hAnsi="Times New Roman"/>
          <w:b w:val="0"/>
          <w:i w:val="0"/>
          <w:sz w:val="24"/>
        </w:rPr>
        <w:t xml:space="preserve"> 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i w:val="0"/>
          <w:sz w:val="24"/>
        </w:rPr>
        <w:t>Publication bias.</w:t>
      </w:r>
      <w:r>
        <w:rPr>
          <w:rFonts w:ascii="Times New Roman" w:hAnsi="Times New Roman"/>
          <w:b w:val="0"/>
          <w:i w:val="0"/>
          <w:sz w:val="24"/>
        </w:rPr>
        <w:t xml:space="preserve"> 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i w:val="0"/>
          <w:sz w:val="24"/>
        </w:rPr>
        <w:t>Inclusion criterion and selection bias.</w:t>
      </w:r>
      <w:r>
        <w:rPr>
          <w:rFonts w:ascii="Times New Roman" w:hAnsi="Times New Roman"/>
          <w:b w:val="0"/>
          <w:i w:val="0"/>
          <w:sz w:val="24"/>
        </w:rPr>
        <w:t xml:space="preserve"> The requirement that parental education have an independently estimable regression coefficient introduces a form of selection bias that is distinct from publication bias. Studies in which parental education showed no independent association with neural outcomes are more likely to have operationalized education as part of a composite index without a separately reported coefficient—and thus be excluded under the E2 criterion. The 94% positive rate observed in this review may therefore partly reflect the structure of the inclusion criterion rather than solely the biological reality. This does not invalidate the findings, but readers should interpret the directional consistency with awareness that the reviewed evidence base is necessarily drawn from studies in which an independent education signal was sufficiently present to be modeled and reported.</w:t>
      </w:r>
    </w:p>
    <w:p>
      <w:pPr>
        <w:jc w:val="left"/>
        <w:spacing w:before="0" w:after="120" w:line="480" w:lineRule="auto"/>
      </w:pPr>
      <w:r>
        <w:rPr>
          <w:rFonts w:ascii="Times New Roman" w:hAnsi="Times New Roman"/>
          <w:b/>
          <w:i w:val="0"/>
          <w:sz w:val="24"/>
        </w:rPr>
        <w:t>Genetic confounding.</w:t>
      </w:r>
      <w:r>
        <w:rPr>
          <w:rFonts w:ascii="Times New Roman" w:hAnsi="Times New Roman"/>
          <w:b w:val="0"/>
          <w:i w:val="0"/>
          <w:sz w:val="24"/>
        </w:rPr>
        <w:t xml:space="preserve"> 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Selzam et al., 2020).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pStyle w:val="Heading2"/>
        <w:spacing w:before="200" w:after="40" w:line="360" w:lineRule="auto"/>
      </w:pPr>
      <w:r>
        <w:rPr>
          <w:rFonts w:ascii="Times New Roman" w:hAnsi="Times New Roman"/>
          <w:b/>
          <w:sz w:val="26"/>
        </w:rPr>
        <w:t>4.5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detectable from birth and persisting through middle childhood. The neural systems most consistently implicated—prefrontal cortex, temporal language regions, and the arcuate fasciculus—are the substrates of language acquisition and executive function, the behavioral domains most strongly predicted by parental education in the behavioral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The present review underscores the importance of treating parental education not merely as a demographic control variable in neurodevelopmental research, but as a substantive predictor of the environmental inputs that shape the developing brain.</w:t>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w:t>
      </w:r>
    </w:p>
    <w:p>
      <w:pPr>
        <w:jc w:val="left"/>
        <w:spacing w:before="0" w:after="120" w:line="480" w:lineRule="auto"/>
      </w:pPr>
      <w:r>
        <w:rPr>
          <w:rFonts w:ascii="Times New Roman" w:hAnsi="Times New Roman"/>
          <w:b w:val="0"/>
          <w:i w:val="0"/>
          <w:sz w:val="24"/>
        </w:rPr>
        <w:t xml:space="preserve">Gao, W., Alcauter, S., Elton, A., Hernandez-Castillo, C. R., Smith, J. K., Bhatt, P., &amp; Lin, W. (2011). Functional network development during the first year: Relative sequence and socioeconomic correlations. </w:t>
      </w:r>
      <w:r>
        <w:rPr>
          <w:rFonts w:ascii="Times New Roman" w:hAnsi="Times New Roman"/>
          <w:b w:val="0"/>
          <w:i/>
          <w:sz w:val="24"/>
        </w:rPr>
        <w:t>Cerebral Cortex</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(9), 2919–2928. https://doi.org/10.1093/cercor/bhu088</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pPr>
        <w:jc w:val="left"/>
        <w:spacing w:before="0" w:after="120" w:line="480" w:lineRule="auto"/>
      </w:pPr>
      <w:r>
        <w:rPr>
          <w:rFonts w:ascii="Times New Roman" w:hAnsi="Times New Roman"/>
          <w:b w:val="0"/>
          <w:i w:val="0"/>
          <w:sz w:val="24"/>
        </w:rPr>
        <w:t xml:space="preserve">Friederici, A. D. (2012). Language development and the ontogeny of the dorsal pathway. </w:t>
      </w:r>
      <w:r>
        <w:rPr>
          <w:rFonts w:ascii="Times New Roman" w:hAnsi="Times New Roman"/>
          <w:b w:val="0"/>
          <w:i/>
          <w:sz w:val="24"/>
        </w:rPr>
        <w:t>Frontiers in Evolutionary Neuroscience</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 Article 3. https://doi.org/10.3389/fnevo.2012.00003</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Shonkoff, J. P., Garner, A. S., The Committee on Psychosocial Aspects of Child and Family Health, The Committee on Early Childhood, Adoption, and Dependent Care, &amp; The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Selzam, S., McAdams, T. A., Coleman, J. R. I., Carnell, S., O'Reilly, P. F., Plomin, R., &amp; Llewellyn, C. H. (2020). Evidence for gene–environment correlation in child feeding: Links between common genetic variation for BMI in children and parental feeding practices. </w:t>
      </w:r>
      <w:r>
        <w:rPr>
          <w:rFonts w:ascii="Times New Roman" w:hAnsi="Times New Roman"/>
          <w:b w:val="0"/>
          <w:i/>
          <w:sz w:val="24"/>
        </w:rPr>
        <w:t>PLOS Genetics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(8), Article e1008851. https://doi.org/10.1371/journal.pgen.1008851</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