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120" w:line="480" w:lineRule="auto"/>
      </w:pPr>
      <w:r>
        <w:rPr>
          <w:rFonts w:ascii="Times New Roman" w:hAnsi="Times New Roman"/>
          <w:b/>
          <w:i w:val="0"/>
          <w:sz w:val="28"/>
        </w:rPr>
        <w:t>修改说明</w:t>
      </w:r>
    </w:p>
    <w:p>
      <w:pPr>
        <w:jc w:val="center"/>
        <w:spacing w:before="0" w:after="240" w:line="480" w:lineRule="auto"/>
      </w:pPr>
      <w:r>
        <w:rPr>
          <w:rFonts w:ascii="Times New Roman" w:hAnsi="Times New Roman"/>
          <w:b w:val="0"/>
          <w:i/>
          <w:sz w:val="22"/>
        </w:rPr>
        <w:t>Parental Education Level and Neural Development in Young Children: A Systematic Review</w:t>
      </w:r>
    </w:p>
    <w:p>
      <w:pPr>
        <w:jc w:val="left"/>
        <w:spacing w:before="0" w:after="80" w:line="480" w:lineRule="auto"/>
      </w:pPr>
      <w:r>
        <w:rPr>
          <w:rFonts w:ascii="Times New Roman" w:hAnsi="Times New Roman"/>
          <w:b w:val="0"/>
          <w:i w:val="0"/>
          <w:sz w:val="24"/>
        </w:rPr>
        <w:t>陶老师，您好。</w:t>
      </w:r>
    </w:p>
    <w:p>
      <w:pPr>
        <w:jc w:val="left"/>
        <w:spacing w:before="0" w:after="200" w:line="480" w:lineRule="auto"/>
      </w:pPr>
      <w:r>
        <w:rPr>
          <w:rFonts w:ascii="Times New Roman" w:hAnsi="Times New Roman"/>
          <w:b w:val="0"/>
          <w:i w:val="0"/>
          <w:sz w:val="24"/>
        </w:rPr>
        <w:t>根据您三轮反馈，我们对文章进行了系统性重写，核心改变是从“文献陈列”转向“回答领域未解问题”。以下逐条说明。</w:t>
      </w:r>
    </w:p>
    <w:p>
      <w:pPr>
        <w:jc w:val="left"/>
        <w:spacing w:before="120" w:after="80" w:line="480" w:lineRule="auto"/>
      </w:pPr>
      <w:r>
        <w:rPr>
          <w:rFonts w:ascii="Times New Roman" w:hAnsi="Times New Roman"/>
          <w:b/>
          <w:i w:val="0"/>
          <w:sz w:val="24"/>
        </w:rPr>
        <w:t>一、三条核心知识的改动</w:t>
      </w:r>
    </w:p>
    <w:p>
      <w:pPr>
        <w:jc w:val="left"/>
        <w:spacing w:before="80" w:after="40" w:line="480" w:lineRule="auto"/>
      </w:pPr>
      <w:r>
        <w:rPr>
          <w:rFonts w:ascii="Times New Roman" w:hAnsi="Times New Roman"/>
          <w:b/>
          <w:i w:val="0"/>
          <w:sz w:val="24"/>
        </w:rPr>
        <w:t>知识一（跨研究收敛性与效应稳健性）</w:t>
      </w:r>
    </w:p>
    <w:p>
      <w:pPr>
        <w:jc w:val="left"/>
        <w:spacing w:before="0" w:after="60" w:line="480" w:lineRule="auto"/>
      </w:pPr>
      <w:r>
        <w:rPr>
          <w:rFonts w:ascii="Times New Roman" w:hAnsi="Times New Roman"/>
          <w:b w:val="0"/>
          <w:i w:val="0"/>
          <w:sz w:val="24"/>
        </w:rPr>
        <w:t>根据您的反馈，我们重新审视了原版知识一的表述：原版使用 sensitivity/specificity 未能准确反映证据现犰——该术语预设了存在诊断准确性研究（ROC/AUC），但 16 篇文献均为群体水平关联设计，无一项采用预测效度框架。</w:t>
      </w:r>
    </w:p>
    <w:p>
      <w:pPr>
        <w:jc w:val="left"/>
        <w:spacing w:before="0" w:after="60" w:line="480" w:lineRule="auto"/>
      </w:pPr>
      <w:r>
        <w:rPr>
          <w:rFonts w:ascii="Times New Roman" w:hAnsi="Times New Roman"/>
          <w:b w:val="0"/>
          <w:i w:val="0"/>
          <w:sz w:val="24"/>
        </w:rPr>
        <w:t>修改后，知识一回答的是：</w:t>
      </w:r>
      <w:r>
        <w:rPr>
          <w:rFonts w:ascii="Times New Roman" w:hAnsi="Times New Roman"/>
          <w:b/>
          <w:i w:val="0"/>
          <w:sz w:val="24"/>
        </w:rPr>
        <w:t>16 篇中哪个指标跨研究最稳健？</w:t>
      </w:r>
      <w:r>
        <w:rPr>
          <w:rFonts w:ascii="Times New Roman" w:hAnsi="Times New Roman"/>
          <w:b w:val="0"/>
          <w:i w:val="0"/>
          <w:sz w:val="24"/>
        </w:rPr>
        <w:t xml:space="preserve"> 答案是弓状束 FA（</w:t>
      </w:r>
      <w:r>
        <w:rPr>
          <w:rFonts w:ascii="Times New Roman" w:hAnsi="Times New Roman"/>
          <w:b w:val="0"/>
          <w:i/>
          <w:sz w:val="24"/>
        </w:rPr>
        <w:t>arcuate fasciculus fractional anisotropy</w:t>
      </w:r>
      <w:r>
        <w:rPr>
          <w:rFonts w:ascii="Times New Roman" w:hAnsi="Times New Roman"/>
          <w:b w:val="0"/>
          <w:i w:val="0"/>
          <w:sz w:val="24"/>
        </w:rPr>
        <w:t>）：由两个独立团队发现，效应从 8.6 个月（</w:t>
      </w:r>
      <w:r>
        <w:rPr>
          <w:rFonts w:ascii="Times New Roman" w:hAnsi="Times New Roman"/>
          <w:b w:val="0"/>
          <w:i/>
          <w:sz w:val="24"/>
        </w:rPr>
        <w:t>r</w:t>
      </w:r>
      <w:r>
        <w:rPr>
          <w:rFonts w:ascii="Times New Roman" w:hAnsi="Times New Roman"/>
          <w:b w:val="0"/>
          <w:i w:val="0"/>
          <w:sz w:val="24"/>
        </w:rPr>
        <w:t xml:space="preserve"> = 0.48）延伸至 5–8 岁（</w:t>
      </w:r>
      <w:r>
        <w:rPr>
          <w:rFonts w:ascii="Times New Roman" w:hAnsi="Times New Roman"/>
          <w:b w:val="0"/>
          <w:i/>
          <w:sz w:val="24"/>
        </w:rPr>
        <w:t>r</w:t>
      </w:r>
      <w:r>
        <w:rPr>
          <w:rFonts w:ascii="Times New Roman" w:hAnsi="Times New Roman"/>
          <w:b w:val="0"/>
          <w:i w:val="0"/>
          <w:sz w:val="24"/>
        </w:rPr>
        <w:t xml:space="preserve"> = 0.33），且在 5–8 岁样本中控制家庭收入后仍显著——说明教育效应独立于经济资源。</w:t>
      </w:r>
    </w:p>
    <w:p>
      <w:pPr>
        <w:jc w:val="left"/>
        <w:spacing w:before="0" w:after="120" w:line="480" w:lineRule="auto"/>
      </w:pPr>
      <w:r>
        <w:rPr>
          <w:rFonts w:ascii="Times New Roman" w:hAnsi="Times New Roman"/>
          <w:b w:val="0"/>
          <w:i w:val="0"/>
          <w:sz w:val="24"/>
        </w:rPr>
        <w:t>同时，知识一明确指出：</w:t>
      </w:r>
      <w:r>
        <w:rPr>
          <w:rFonts w:ascii="Times New Roman" w:hAnsi="Times New Roman"/>
          <w:b/>
          <w:i w:val="0"/>
          <w:sz w:val="24"/>
        </w:rPr>
        <w:t>弓状束 FA 的个体预测效度（能否用于筛查高风险儿童？灵敏度/特异度如何？）从未被检验</w:t>
      </w:r>
      <w:r>
        <w:rPr>
          <w:rFonts w:ascii="Times New Roman" w:hAnsi="Times New Roman"/>
          <w:b w:val="0"/>
          <w:i w:val="0"/>
          <w:sz w:val="24"/>
        </w:rPr>
        <w:t>——这不是本综述的局限，而是领域的空白，本身就是结论。</w:t>
      </w:r>
    </w:p>
    <w:p>
      <w:pPr>
        <w:jc w:val="left"/>
        <w:spacing w:before="80" w:after="40" w:line="480" w:lineRule="auto"/>
      </w:pPr>
      <w:r>
        <w:rPr>
          <w:rFonts w:ascii="Times New Roman" w:hAnsi="Times New Roman"/>
          <w:b/>
          <w:i w:val="0"/>
          <w:sz w:val="24"/>
        </w:rPr>
        <w:t>知识二（弓状束是最一致的神经靶点）</w:t>
      </w:r>
    </w:p>
    <w:p>
      <w:pPr>
        <w:jc w:val="left"/>
        <w:spacing w:before="0" w:after="120" w:line="480" w:lineRule="auto"/>
      </w:pPr>
      <w:r>
        <w:rPr>
          <w:rFonts w:ascii="Times New Roman" w:hAnsi="Times New Roman"/>
          <w:b w:val="0"/>
          <w:i w:val="0"/>
          <w:sz w:val="24"/>
        </w:rPr>
        <w:t>扩写了弓状束的证据链，明确其与阅读获得/阅读障碍的理论连接（Catani &amp; Mesulam, 2008; Yeatman et al., 2012）。这是与博士大论文最直接的接口（见下）。</w:t>
      </w:r>
    </w:p>
    <w:p>
      <w:pPr>
        <w:jc w:val="left"/>
        <w:spacing w:before="80" w:after="40" w:line="480" w:lineRule="auto"/>
      </w:pPr>
      <w:r>
        <w:rPr>
          <w:rFonts w:ascii="Times New Roman" w:hAnsi="Times New Roman"/>
          <w:b/>
          <w:i w:val="0"/>
          <w:sz w:val="24"/>
        </w:rPr>
        <w:t>知识三（父母不对称性：一个系统性盲点）</w:t>
      </w:r>
    </w:p>
    <w:p>
      <w:pPr>
        <w:jc w:val="left"/>
        <w:spacing w:before="0" w:after="60" w:line="480" w:lineRule="auto"/>
      </w:pPr>
      <w:r>
        <w:rPr>
          <w:rFonts w:ascii="Times New Roman" w:hAnsi="Times New Roman"/>
          <w:b w:val="0"/>
          <w:i w:val="0"/>
          <w:sz w:val="24"/>
        </w:rPr>
        <w:t>根据您的意见，产前机制（3 篇）不作为独立知识，降级为 §4.2 发育时序分析的 Phase 1 背景证据（保留其“约束产前路径存在”的功能），但不设独立结论节。</w:t>
      </w:r>
    </w:p>
    <w:p>
      <w:pPr>
        <w:jc w:val="left"/>
        <w:spacing w:before="0" w:after="60" w:line="480" w:lineRule="auto"/>
      </w:pPr>
      <w:r>
        <w:rPr>
          <w:rFonts w:ascii="Times New Roman" w:hAnsi="Times New Roman"/>
          <w:b w:val="0"/>
          <w:i w:val="0"/>
          <w:sz w:val="24"/>
        </w:rPr>
        <w:t>新知识三基于 16 篇全样本的系统性观察：7 篇仅测母亲教育，9 篇使用合并指数（均值或最高值），</w:t>
      </w:r>
      <w:r>
        <w:rPr>
          <w:rFonts w:ascii="Times New Roman" w:hAnsi="Times New Roman"/>
          <w:b/>
          <w:i w:val="0"/>
          <w:sz w:val="24"/>
        </w:rPr>
        <w:t>0 篇分别报告父亲与母亲教育的独立效应</w:t>
      </w:r>
      <w:r>
        <w:rPr>
          <w:rFonts w:ascii="Times New Roman" w:hAnsi="Times New Roman"/>
          <w:b w:val="0"/>
          <w:i w:val="0"/>
          <w:sz w:val="24"/>
        </w:rPr>
        <w:t>。这反映的不是统计假象，而是领域一个从未被质疑过的假设——母亲教育已足够代表父母教育。父亲教育通过不同机制（游戏互动、经济缓冲、语言示范）可能产生独立影响，目前完全未知。</w:t>
      </w:r>
    </w:p>
    <w:p>
      <w:pPr>
        <w:jc w:val="left"/>
        <w:spacing w:before="0" w:after="160" w:line="480" w:lineRule="auto"/>
      </w:pPr>
      <w:r>
        <w:rPr>
          <w:rFonts w:ascii="Times New Roman" w:hAnsi="Times New Roman"/>
          <w:b/>
          <w:i w:val="0"/>
          <w:sz w:val="24"/>
        </w:rPr>
        <w:t>此空白直接支撑大论文的父母教育四分类设计。</w:t>
      </w:r>
    </w:p>
    <w:p>
      <w:pPr>
        <w:jc w:val="left"/>
        <w:spacing w:before="120" w:after="100" w:line="480" w:lineRule="auto"/>
      </w:pPr>
      <w:r>
        <w:rPr>
          <w:rFonts w:ascii="Times New Roman" w:hAnsi="Times New Roman"/>
          <w:b/>
          <w:i w:val="0"/>
          <w:sz w:val="24"/>
        </w:rPr>
        <w:t>二、与博士大论文的四条接口</w:t>
      </w:r>
    </w:p>
    <w:p>
      <w:pPr>
        <w:jc w:val="center"/>
        <w:spacing w:before="0" w:after="60" w:line="480" w:lineRule="auto"/>
      </w:pPr>
      <w:r>
        <w:rPr>
          <w:rFonts w:ascii="Times New Roman" w:hAnsi="Times New Roman"/>
          <w:b w:val="0"/>
          <w:i w:val="0"/>
          <w:sz w:val="24"/>
        </w:rPr>
        <w:t>表 1  本综述为博士大论文提供的理论与方法学支撑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接口</w:t>
            </w:r>
          </w:p>
        </w:tc>
        <w:tc>
          <w:tcPr>
            <w:tcW w:type="dxa" w:w="3685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本综述提供</w:t>
            </w:r>
          </w:p>
        </w:tc>
        <w:tc>
          <w:tcPr>
            <w:tcW w:type="dxa" w:w="3685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大论文应用</w:t>
            </w:r>
          </w:p>
        </w:tc>
      </w:tr>
      <w:tr>
        <w:tc>
          <w:tcPr>
            <w:tcW w:type="dxa" w:w="170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①弓状束–阅读回路</w:t>
            </w:r>
          </w:p>
        </w:tc>
        <w:tc>
          <w:tcPr>
            <w:tcW w:type="dxa" w:w="368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弓状束 FA 在婴儿期对父母教育敏感，5–8 岁控收入后仍显著</w:t>
            </w:r>
          </w:p>
        </w:tc>
        <w:tc>
          <w:tcPr>
            <w:tcW w:type="dxa" w:w="368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5–6 岁 EEG 的 alpha/theta 振荡是该回路的功能对应，本文提供结构先验依据</w:t>
            </w:r>
          </w:p>
        </w:tc>
      </w:tr>
      <w:tr>
        <w:tc>
          <w:tcPr>
            <w:tcW w:type="dxa" w:w="170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②父母区分设计</w:t>
            </w:r>
          </w:p>
        </w:tc>
        <w:tc>
          <w:tcPr>
            <w:tcW w:type="dxa" w:w="368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0 篇研究分别检验父亲/母亲效应——领域结构性空白</w:t>
            </w:r>
          </w:p>
        </w:tc>
        <w:tc>
          <w:tcPr>
            <w:tcW w:type="dxa" w:w="368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父母教育四分类可分别分析母亲与父亲效应，直接填补此空白</w:t>
            </w:r>
          </w:p>
        </w:tc>
      </w:tr>
      <w:tr>
        <w:tc>
          <w:tcPr>
            <w:tcW w:type="dxa" w:w="1701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③EEG 指标先验</w:t>
            </w:r>
          </w:p>
        </w:tc>
        <w:tc>
          <w:tcPr>
            <w:tcW w:type="dxa" w:w="368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Brito &amp; Noble (2020)、Shephard (2019) 等显示 alpha/theta 功率与父母教育关联</w:t>
            </w:r>
          </w:p>
        </w:tc>
        <w:tc>
          <w:tcPr>
            <w:tcW w:type="dxa" w:w="3685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选 alpha/theta 作核心指标有文献基础</w:t>
            </w:r>
          </w:p>
        </w:tc>
      </w:tr>
      <w:tr>
        <w:tc>
          <w:tcPr>
            <w:tcW w:type="dxa" w:w="1701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④非线性探索基础</w:t>
            </w:r>
          </w:p>
        </w:tc>
        <w:tc>
          <w:tcPr>
            <w:tcW w:type="dxa" w:w="3685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16 篇均假设线性；Noble (2015) 非线性发现限于收入–皮层面积，在父母教育–神经的 0–8 岁范围从未验证</w:t>
            </w:r>
          </w:p>
        </w:tc>
        <w:tc>
          <w:tcPr>
            <w:tcW w:type="dxa" w:w="3685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  <w:spacing w:before="40" w:after="4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四分类设计可初步观察是否存在临界点，为后续专门检验提供设计参考</w:t>
            </w:r>
          </w:p>
        </w:tc>
      </w:tr>
    </w:tbl>
    <w:p>
      <w:pPr>
        <w:jc w:val="left"/>
        <w:spacing w:before="60" w:after="120" w:line="240" w:lineRule="auto"/>
      </w:pPr>
      <w:r>
        <w:rPr>
          <w:rFonts w:ascii="Times New Roman" w:hAnsi="Times New Roman"/>
          <w:b/>
          <w:i/>
          <w:sz w:val="20"/>
        </w:rPr>
        <w:t>注.</w:t>
      </w:r>
      <w:r>
        <w:rPr>
          <w:rFonts w:ascii="Times New Roman" w:hAnsi="Times New Roman"/>
          <w:b w:val="0"/>
          <w:i w:val="0"/>
          <w:sz w:val="20"/>
        </w:rPr>
        <w:t xml:space="preserve"> alpha/theta = 4–12 Hz EEG 振荡，与丘脑皮层成熟度及语言加工相关；FA = fractional anisotropy（弓状束各向异性分数）；四分类 = 高中及以下 / 大专 / 本科 / 研究生。</w:t>
      </w:r>
    </w:p>
    <w:p>
      <w:pPr>
        <w:jc w:val="left"/>
        <w:spacing w:before="120" w:after="80" w:line="480" w:lineRule="auto"/>
      </w:pPr>
      <w:r>
        <w:rPr>
          <w:rFonts w:ascii="Times New Roman" w:hAnsi="Times New Roman"/>
          <w:b/>
          <w:i w:val="0"/>
          <w:sz w:val="24"/>
        </w:rPr>
        <w:t>三、关于大型队列遗漏的说明</w:t>
      </w:r>
    </w:p>
    <w:p>
      <w:pPr>
        <w:jc w:val="left"/>
        <w:spacing w:before="0" w:after="160" w:line="480" w:lineRule="auto"/>
      </w:pPr>
      <w:r>
        <w:rPr>
          <w:rFonts w:ascii="Times New Roman" w:hAnsi="Times New Roman"/>
          <w:b w:val="0"/>
          <w:i w:val="0"/>
          <w:sz w:val="24"/>
        </w:rPr>
        <w:t>经逐篇核查：HBCD、GUSTO、HCP-D、Babybrain 等大型队列在检索截止日（2026 年 4 月）均无已发表的、符合 PICOS 标准的结果性论文——仅有研究设计/方案文章，或 SES 测量无法分离教育效应。16 篇基础完整，无遗漏。</w:t>
      </w:r>
    </w:p>
    <w:p>
      <w:pPr>
        <w:jc w:val="left"/>
        <w:spacing w:before="120" w:after="60" w:line="480" w:lineRule="auto"/>
      </w:pPr>
      <w:r>
        <w:rPr>
          <w:rFonts w:ascii="Times New Roman" w:hAnsi="Times New Roman"/>
          <w:b/>
          <w:i w:val="0"/>
          <w:sz w:val="24"/>
        </w:rPr>
        <w:t>核心修改一句话摘要</w:t>
      </w:r>
    </w:p>
    <w:p>
      <w:pPr>
        <w:spacing w:before="80" w:after="80" w:line="360" w:lineRule="auto"/>
        <w:ind w:left="283" w:right="283"/>
        <w:shd w:val="clear" w:color="auto" w:fill="F2F2F2"/>
      </w:pPr>
      <w:r>
        <w:rPr>
          <w:rFonts w:ascii="Times New Roman" w:hAnsi="Times New Roman"/>
          <w:b w:val="0"/>
          <w:i w:val="0"/>
          <w:sz w:val="22"/>
        </w:rPr>
        <w:t>修改后三条知识：（1）弓状束 FA 是 16 篇中唯一跨研究、跨年龄、控收入后仍稳健的指标，但其个体预测效度从未被检验——这是领域的空白；（2）该效应 8.6 个月即可测，延伸至 5–8 岁，是阅读障碍研究的神经前体证据；（3）0 篇研究分别检验父亲 vs 母亲教育效应——此系统性盲点直接支撑大论文父母教育四分类设计。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