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early childhood neural development: a systematic review of EEG, ERP, fNIRS, and neuroimaging evidence (ages 0–8 years)</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reliable predictor of children's cognitive outcomes, yet its neural correlates in early childhood have not been synthesised across measurement modalities.</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children aged 0–8 years, examining under what conditions effects are detectable, from what developmental point they emerge, and through what mechanisms they operate.</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children aged 0–8 years.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before substantial postnatal experience had accrued.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birth through middle childhood, with effects concentrated in language and executive control networks rather than distributed uniformly across the brain. Three neonatal studies—including one scanning full-term infants within four days of birth—indicate that prenatal mechanisms are a necessary component of the association. Effects were consistent across 15 of 16 mainstream-culture samples; the single exception (a migrant-majority sample) points to cultural and linguistic context as an important moderator requiring further investigation. Whether the association follows a full-range gradient or a deprivation threshold—the central debate in this literature since Noble et al. (2015)—cannot be definitively resolved, as no included study directly tested for non-linear effects. However, indirect evidence from full-range continuous samples (Brito &amp; Noble, 2020; Ozernov-Palchik et al., 2019) is more consistent with a gradient than a pure deprivation threshold account. These findings call for neonatal studies with direct biological pathway measurement, pre-registered designs with full-range SES sampling, and studies in non-Western and migrant populations.</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Of its components, parental education level offers particular advantages for research: it is measured with relatively low error, remains stable across a child's early years, and reflects accumulated cognitive and cultural resources that bear on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The socioeconomic gradient in brain structure and function has been documented in school-age and adolescent samples (Hair et al., 2015; Noble et al., 2015; Hackman et al., 2010). Establishing when parental education begins to leave a detectable mark on neural outcomes matters for understanding sensitive periods and for identifying effective intervention targets. Studies in neonates and infants—where confounding by the child's own educational experiences is minimal—offer a particularly clean window onto prenatal and earliest postnatal environmental influences.</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gaps are worth noting.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 xml:space="preserve">A landmark study by Noble et al. (2015) in </w:t>
      </w:r>
      <w:r>
        <w:rPr>
          <w:rFonts w:ascii="Times New Roman" w:hAnsi="Times New Roman"/>
          <w:b w:val="0"/>
          <w:i/>
          <w:sz w:val="24"/>
        </w:rPr>
        <w:t>Nature Neuroscience</w:t>
      </w:r>
      <w:r>
        <w:rPr>
          <w:rFonts w:ascii="Times New Roman" w:hAnsi="Times New Roman"/>
          <w:b w:val="0"/>
          <w:i w:val="0"/>
          <w:sz w:val="24"/>
        </w:rPr>
        <w:t xml:space="preserve"> further sharpened the theoretical stakes: reporting that the association between family income and cortical surface area in children and adolescents was markedly non-linear, with the steepest gradient concentrated at the lower end of the income distribution. This deprivation threshold pattern has since become a central point of debate—is the SES–brain association a full-range linear gradient present at every increment of the distribution, or is it concentrated among the most disadvantaged families? This question has not been addressed for parental education specifically in the 0–8 year age range, where the relevant neural indices (EEG power, white matter microstructure, cortical morphometry) differ substantially from those used in Noble et al.'s school-age and adolescent sample.</w:t>
      </w:r>
    </w:p>
    <w:p>
      <w:pPr>
        <w:jc w:val="left"/>
        <w:spacing w:before="0" w:after="120" w:line="480" w:lineRule="auto"/>
      </w:pPr>
      <w:r>
        <w:rPr>
          <w:rFonts w:ascii="Times New Roman" w:hAnsi="Times New Roman"/>
          <w:b w:val="0"/>
          <w:i w:val="0"/>
          <w:sz w:val="24"/>
        </w:rPr>
        <w:t xml:space="preserve">The present review addresses these issues with three questions that go beyond asking </w:t>
      </w:r>
      <w:r>
        <w:rPr>
          <w:rFonts w:ascii="Times New Roman" w:hAnsi="Times New Roman"/>
          <w:b w:val="0"/>
          <w:i/>
          <w:sz w:val="24"/>
        </w:rPr>
        <w:t>whether</w:t>
      </w:r>
      <w:r>
        <w:rPr>
          <w:rFonts w:ascii="Times New Roman" w:hAnsi="Times New Roman"/>
          <w:b w:val="0"/>
          <w:i w:val="0"/>
          <w:sz w:val="24"/>
        </w:rPr>
        <w:t xml:space="preserve"> parental education is associated with neural development: (1) </w:t>
      </w:r>
      <w:r>
        <w:rPr>
          <w:rFonts w:ascii="Times New Roman" w:hAnsi="Times New Roman"/>
          <w:b w:val="0"/>
          <w:i/>
          <w:sz w:val="24"/>
        </w:rPr>
        <w:t>Under what conditions</w:t>
      </w:r>
      <w:r>
        <w:rPr>
          <w:rFonts w:ascii="Times New Roman" w:hAnsi="Times New Roman"/>
          <w:b w:val="0"/>
          <w:i w:val="0"/>
          <w:sz w:val="24"/>
        </w:rPr>
        <w:t xml:space="preserve"> are associations detectable—which neural systems, which developmental windows, and which cultural contexts show the most consistent effects? (2) </w:t>
      </w:r>
      <w:r>
        <w:rPr>
          <w:rFonts w:ascii="Times New Roman" w:hAnsi="Times New Roman"/>
          <w:b w:val="0"/>
          <w:i/>
          <w:sz w:val="24"/>
        </w:rPr>
        <w:t>Through what mechanisms and from what point in development</w:t>
      </w:r>
      <w:r>
        <w:rPr>
          <w:rFonts w:ascii="Times New Roman" w:hAnsi="Times New Roman"/>
          <w:b w:val="0"/>
          <w:i w:val="0"/>
          <w:sz w:val="24"/>
        </w:rPr>
        <w:t xml:space="preserve"> do associations emerge—and what do neonatal findings imply about prenatal versus postnatal pathways? (3) </w:t>
      </w:r>
      <w:r>
        <w:rPr>
          <w:rFonts w:ascii="Times New Roman" w:hAnsi="Times New Roman"/>
          <w:b w:val="0"/>
          <w:i/>
          <w:sz w:val="24"/>
        </w:rPr>
        <w:t>What does the current evidence base leave unresolved</w:t>
      </w:r>
      <w:r>
        <w:rPr>
          <w:rFonts w:ascii="Times New Roman" w:hAnsi="Times New Roman"/>
          <w:b w:val="0"/>
          <w:i w:val="0"/>
          <w:sz w:val="24"/>
        </w:rPr>
        <w:t>—particularly regarding the gradient versus deprivation threshold debate—and what does this imply for future research design?</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following PRISMA 2020 guidelines (Page et al., 2021). We did not pre-register this review in PROSPERO because the descriptive narrative synthesis design does not lend itself to a prospective protocol, and no formal registration was completed prior to data collection.</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sought for all 133 records; 1 record could not be retrieved after reasonable effort (E6) and is reported separately as a not-retrieved record. Of the remaining 132 records, 23 were excluded prior to full-text review on the basis of abstract information alone (22 records) or confirmed retraction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16 studies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87);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4); and non-empirical publication type (E4,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six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sought for all 133 records; 1 record could not be retrieved. Of the remaining 132 records, 23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leaving 109 for full-text assessment. Full-text review of 109 records resulted in 93 exclusions, primarily because parental education lacked an independently estimable effect (</w:t>
      </w:r>
      <w:r>
        <w:rPr>
          <w:rFonts w:ascii="Times New Roman" w:hAnsi="Times New Roman"/>
          <w:b w:val="0"/>
          <w:i/>
          <w:sz w:val="24"/>
        </w:rPr>
        <w:t>k</w:t>
      </w:r>
      <w:r>
        <w:rPr>
          <w:rFonts w:ascii="Times New Roman" w:hAnsi="Times New Roman"/>
          <w:b w:val="0"/>
          <w:i w:val="0"/>
          <w:sz w:val="24"/>
        </w:rPr>
        <w:t xml:space="preserve"> = 87).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approximately 2,200 children across 10 countries or regions (United States, United Kingdom, Germany, Canada, Spain, Brazil, India, Norway, and multinational cohorts).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including one study in which brain volume served as a covariate rather than primary outcome; see Section 3.5.1),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one study additionally included frontal theta power analysis),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beyond 8 years but reported subgroup analyses or primary effects within the target range.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(preterm; two MRI timepoints)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16–18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Two separate analyses were reported. First, income-group comparisons showed that children from low-income families had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Second, in an independent regression analysis, maternal education (not income group)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after controlling for income and raw EEG metrics. These two analyses address different questions and are not directly linked: the income-EEG association reflects group-level differences in cortical maturation, whereas the education-vocabulary regression demonstrates that maternal education carries unique predictive weight for lexical development beyond household financial resources. The education-vocabulary finding points to a pathway from maternal educational attainment through language input quality to lexical development that is not reducible to income-related neural differences.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The three resting-state EEG studies, read together, show a consistent pattern: higher parental education is associated with more differentiated and mature neural responses across multiple EEG indices, with evidence from three continents (North America, Europe,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error-monitoring neural responses in 52 toddlers (aged 16–18 months; final analysable sample after exclusions) in Spain. Using a passive puzzle-error observation paradigm—in which toddlers watched puzzle pieces being assembled correctly or incorrectly—the study recorded both the error-related negativity (ERN; a fronto-central time-domain component) and frontal theta power (4–7 Hz; a frequency-domain measure of the same error-detection process). Separate simple linear regressions were conducted for each SES predictor. When parental education (years of schooling) was entered as the sole predictor, it independently predicted a larger (more negative) ERN amplitude (</w:t>
      </w:r>
      <w:r>
        <w:rPr>
          <w:rFonts w:ascii="Times New Roman" w:hAnsi="Times New Roman"/>
          <w:b w:val="0"/>
          <w:i/>
          <w:sz w:val="24"/>
        </w:rPr>
        <w:t>β</w:t>
      </w:r>
      <w:r>
        <w:rPr>
          <w:rFonts w:ascii="Times New Roman" w:hAnsi="Times New Roman"/>
          <w:b w:val="0"/>
          <w:i w:val="0"/>
          <w:sz w:val="24"/>
        </w:rPr>
        <w:t xml:space="preserve"> = .31, </w:t>
      </w:r>
      <w:r>
        <w:rPr>
          <w:rFonts w:ascii="Times New Roman" w:hAnsi="Times New Roman"/>
          <w:b w:val="0"/>
          <w:i/>
          <w:sz w:val="24"/>
        </w:rPr>
        <w:t>F</w:t>
      </w:r>
      <w:r>
        <w:rPr>
          <w:rFonts w:ascii="Times New Roman" w:hAnsi="Times New Roman"/>
          <w:b w:val="0"/>
          <w:i w:val="0"/>
          <w:sz w:val="24"/>
        </w:rPr>
        <w:t xml:space="preserve">(1, 51) = 5.03,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.10). A parallel regression with the composite SES index (combining education, occupation, and income) as the sole predictor accounted for greater variance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.13), indicating that education contributes independently but that broader socioeconomic context captures additional explanatory power. Parental education showed a marginal association with frontal theta power in a third separate regression (</w:t>
      </w:r>
      <w:r>
        <w:rPr>
          <w:rFonts w:ascii="Times New Roman" w:hAnsi="Times New Roman"/>
          <w:b w:val="0"/>
          <w:i/>
          <w:sz w:val="24"/>
        </w:rPr>
        <w:t>β</w:t>
      </w:r>
      <w:r>
        <w:rPr>
          <w:rFonts w:ascii="Times New Roman" w:hAnsi="Times New Roman"/>
          <w:b w:val="0"/>
          <w:i w:val="0"/>
          <w:sz w:val="24"/>
        </w:rPr>
        <w:t xml:space="preserve"> = .25, </w:t>
      </w:r>
      <w:r>
        <w:rPr>
          <w:rFonts w:ascii="Times New Roman" w:hAnsi="Times New Roman"/>
          <w:b w:val="0"/>
          <w:i/>
          <w:sz w:val="24"/>
        </w:rPr>
        <w:t>F</w:t>
      </w:r>
      <w:r>
        <w:rPr>
          <w:rFonts w:ascii="Times New Roman" w:hAnsi="Times New Roman"/>
          <w:b w:val="0"/>
          <w:i w:val="0"/>
          <w:sz w:val="24"/>
        </w:rPr>
        <w:t xml:space="preserve">(1, 51) = 3.47, </w:t>
      </w:r>
      <w:r>
        <w:rPr>
          <w:rFonts w:ascii="Times New Roman" w:hAnsi="Times New Roman"/>
          <w:b w:val="0"/>
          <w:i/>
          <w:sz w:val="24"/>
        </w:rPr>
        <w:t>p</w:t>
      </w:r>
      <w:r>
        <w:rPr>
          <w:rFonts w:ascii="Times New Roman" w:hAnsi="Times New Roman"/>
          <w:b w:val="0"/>
          <w:i w:val="0"/>
          <w:sz w:val="24"/>
        </w:rPr>
        <w:t xml:space="preserve"> = .07). This is notable because the ERN is typically not robust until 5–6 years in Western samples (Davies et al., 2004; Torpey et al., 2009); its detectability in toddlers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within each sample.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at term-equivalent age in a cohort of 261 infants in the United Kingdom—170 extremely and very preterm infants (born &lt;33 weeks) and 91 full-term or near-term controls. Maternal education (university degree vs. lower) was included as a family-level SES exposure in exploratory analyses. Higher maternal education was independently associated with larger regional brain volumes across four parcels (left and right cerebella, left middle superior temporal gyrus, left anterior lateral occipitotemporal gyrus; </w:t>
      </w:r>
      <w:r>
        <w:rPr>
          <w:rFonts w:ascii="Times New Roman" w:hAnsi="Times New Roman"/>
          <w:b w:val="0"/>
          <w:i/>
          <w:sz w:val="24"/>
        </w:rPr>
        <w:t>β</w:t>
      </w:r>
      <w:r>
        <w:rPr>
          <w:rFonts w:ascii="Times New Roman" w:hAnsi="Times New Roman"/>
          <w:b w:val="0"/>
          <w:i w:val="0"/>
          <w:sz w:val="24"/>
        </w:rPr>
        <w:t xml:space="preserve"> range 0.09–0.15, all 261 infants after FDR correction and adjustment for gestational age at birth). Because all infants were assessed at or near term-equivalent age, before the accumulation of substantial independent learning experience, this finding is consistent with both prenatal and early postnatal environmental influences. This is the highest-quality study in the review (NOS = 9), and its demonstration that maternal education associations with brain structure are detectable alongside gestational age effects—even in a preterm-enriched sample—provides evidence for an early-emerging pathway from maternal education to neural structure that is not reducible to gestational maturity alone.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examined hippocampal development in a longitudinal cohort of 162 very preterm neonates (</w:t>
      </w:r>
      <w:r>
        <w:rPr>
          <w:rFonts w:ascii="Times New Roman" w:hAnsi="Times New Roman"/>
          <w:b w:val="0"/>
          <w:i/>
          <w:sz w:val="24"/>
        </w:rPr>
        <w:t>N</w:t>
      </w:r>
      <w:r>
        <w:rPr>
          <w:rFonts w:ascii="Times New Roman" w:hAnsi="Times New Roman"/>
          <w:b w:val="0"/>
          <w:i w:val="0"/>
          <w:sz w:val="24"/>
        </w:rPr>
        <w:t xml:space="preserve"> = 162 with SES data; 126 with 18-month cognitive outcome) recruited at the Hospital for Sick Children, Toronto, Canada, and Children's Hospital Dritter Orden, Munich, Germany. Structural and resting-state functional MRI were acquired at two time points: early-in-life (median PMA 32.9 weeks) and at term-equivalent age (median PMA 41.1 weeks). Maternal education (categorical: high school / college–undergraduate / postgraduate) was the primary SES measure. Contrary to a simple main-effect model, maternal education did not predict neonatal hippocampal volume per se. Instead, maternal education moderated the association between anterior hippocampal volume and 18-month Bayley-III cognitive scores (</w:t>
      </w:r>
      <w:r>
        <w:rPr>
          <w:rFonts w:ascii="Times New Roman" w:hAnsi="Times New Roman"/>
          <w:b w:val="0"/>
          <w:i/>
          <w:sz w:val="24"/>
        </w:rPr>
        <w:t>p</w:t>
      </w:r>
      <w:r>
        <w:rPr>
          <w:rFonts w:ascii="Times New Roman" w:hAnsi="Times New Roman"/>
          <w:b w:val="0"/>
          <w:i w:val="0"/>
          <w:sz w:val="24"/>
        </w:rPr>
        <w:t xml:space="preserve"> = .005 for the interaction) and between hippocampal functional connectivity and cognitive outcome (</w:t>
      </w:r>
      <w:r>
        <w:rPr>
          <w:rFonts w:ascii="Times New Roman" w:hAnsi="Times New Roman"/>
          <w:b w:val="0"/>
          <w:i/>
          <w:sz w:val="24"/>
        </w:rPr>
        <w:t>p</w:t>
      </w:r>
      <w:r>
        <w:rPr>
          <w:rFonts w:ascii="Times New Roman" w:hAnsi="Times New Roman"/>
          <w:b w:val="0"/>
          <w:i w:val="0"/>
          <w:sz w:val="24"/>
        </w:rPr>
        <w:t xml:space="preserve"> = .05 for the interaction). Critically, the positive relationship between larger hippocampal volume and higher cognition was present specifically in the </w:t>
      </w:r>
      <w:r>
        <w:rPr>
          <w:rFonts w:ascii="Times New Roman" w:hAnsi="Times New Roman"/>
          <w:b/>
          <w:i w:val="0"/>
          <w:sz w:val="24"/>
        </w:rPr>
        <w:t>lowest</w:t>
      </w:r>
      <w:r>
        <w:rPr>
          <w:rFonts w:ascii="Times New Roman" w:hAnsi="Times New Roman"/>
          <w:b w:val="0"/>
          <w:i w:val="0"/>
          <w:sz w:val="24"/>
        </w:rPr>
        <w:t>-SES group (high school degree), not in higher-educated groups. This counterintuitive pattern may reflect that for infants of higher-educated parents, other environmental resources buffer cognition sufficiently that hippocampal size is no longer the limiting factor; in the most disadvantaged group, hippocampal integrity becomes a more proximal determinant of outcome. Because this is a preterm-only sample assessed within the NICU period, the findings complement but are not directly comparable to studies of term-born children; NICU-related stressors and parental involvement during hospitalization may constitute additional pathways through which maternal education influences neonatal hippocampal-cognitive coupling in this population.</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very preterm infants (born &lt;32 weeks gestational age) longitudinally from NICU admission at the Hospital for Sick Children, Toronto, Canada, acquiring structural MRI at term-equivalent age and again at corrected age 2 years. Parental education (categorical: postsecondary vs. no postsecondary) predicted cerebellar growth trajectory, with infants of higher-educated parents showing significantly greater cerebellar volume increase between assessments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finding that parental education predicts accelerated cerebellar recovery in this high-risk preterm cohort suggests that the home environment can partially buffer the neurological consequences of premature birth. Readers should note that, because this is a preterm-only sample, the cerebellar effects may partly reflect education-associated variation in NICU care quality and parental involvement rather than the same mechanisms operating in typically developing term-born children.</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deductive reasoning task in 42 children aged 6–13 years in the United States. Parental education (years of schooling) independently predicted activation in left inferior frontal gyrus (IFG) during the reasoning task after small-volume correction (</w:t>
      </w:r>
      <w:r>
        <w:rPr>
          <w:rFonts w:ascii="Times New Roman" w:hAnsi="Times New Roman"/>
          <w:b w:val="0"/>
          <w:i/>
          <w:sz w:val="24"/>
        </w:rPr>
        <w:t>p</w:t>
      </w:r>
      <w:r>
        <w:rPr>
          <w:rFonts w:ascii="Times New Roman" w:hAnsi="Times New Roman"/>
          <w:b w:val="0"/>
          <w:i w:val="0"/>
          <w:sz w:val="24"/>
        </w:rPr>
        <w:t xml:space="preserve"> &lt; .05, SVC). Left IFG—encompassing Broca's area and adjacent lateral prefrontal cortex—supports both language processing and logical inference; its activation during deductive reasoning in school-age children reflects the integration of language and relational reasoning capacities that develop through cognitively stimulating home environments. The finding that parental education, independently of other SES indicators, predicts left IFG recruitment during reasoning is consistent with a pathway from educationally enriched home environments to more mature prefrontal engagement during complex cognitive operations.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prefrontal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education—is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lines of evidence bear directly on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 This dimension of the home environment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prior to the accumulation of substantial postnatal experience—including full-term neonates scanned within days of birth (Ramphal et al., 2020) and very preterm infants assessed during the NICU period (McKinnon et al., 2023; Konrad et al., 2024)—prenatal mechanisms operating via maternal stress physiology and nutritional status likely contribute substantially to the observed parental education associations.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Fifteen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may reflect migration-related contextual factors specific to that sample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before substantial postnatal experience had accrued—including in one study scanning full-term infants within four days of birth (Ramphal et al., 2020), and in two studies of very preterm infants assessed during the NICU period (McKinnon et al., 2023; Konrad et al., 2024)—consistent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notably, in the larger sample, the education–FA association in this tract persisted after controlling for income (Ozernov-Palchik et al., 2019),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and sensitive periods</w:t>
      </w:r>
    </w:p>
    <w:p>
      <w:pPr>
        <w:jc w:val="left"/>
        <w:spacing w:before="0" w:after="120" w:line="480" w:lineRule="auto"/>
      </w:pPr>
      <w:r>
        <w:rPr>
          <w:rFonts w:ascii="Times New Roman" w:hAnsi="Times New Roman"/>
          <w:b w:val="0"/>
          <w:i w:val="0"/>
          <w:sz w:val="24"/>
        </w:rPr>
        <w:t xml:space="preserve">The age distribution of included studies speaks to the question of when in development parental education associations with neural outcomes are first detectable and whether associations are concentrated in particular developmental windows. The neonatal findings establish associations detectable before substantial postnatal experience had accrued, consistent with </w:t>
      </w:r>
      <w:r>
        <w:rPr>
          <w:rFonts w:ascii="Times New Roman" w:hAnsi="Times New Roman"/>
          <w:b w:val="0"/>
          <w:i/>
          <w:sz w:val="24"/>
        </w:rPr>
        <w:t>in utero</w:t>
      </w:r>
      <w:r>
        <w:rPr>
          <w:rFonts w:ascii="Times New Roman" w:hAnsi="Times New Roman"/>
          <w:b w:val="0"/>
          <w:i w:val="0"/>
          <w:sz w:val="24"/>
        </w:rPr>
        <w:t xml:space="preserve"> origins. The infant and toddler findings (seven studies, excluding the three neonatal studies) indicate that education-related neural differences are already present and widening in the first two years of life—before formal schooling and before most cognitive assessment instruments can be reliably administered. The school-age findings (seven studies, four of which extend beyond 8 years but report primary effects or subgroup analyses within the school-age range) demonstrate that these differences persist into middle childhood, with some evidence that they may be increasing (e.g., Ozernov-Palchik et al., 2019, finding large arcuate FA associations at 5–8 years).</w:t>
      </w:r>
    </w:p>
    <w:p>
      <w:pPr>
        <w:jc w:val="left"/>
        <w:spacing w:before="0" w:after="120" w:line="480" w:lineRule="auto"/>
      </w:pPr>
      <w:r>
        <w:rPr>
          <w:rFonts w:ascii="Times New Roman" w:hAnsi="Times New Roman"/>
          <w:b w:val="0"/>
          <w:i w:val="0"/>
          <w:sz w:val="24"/>
        </w:rPr>
        <w:t>This pattern implies that early intervention is most likely to be effective if initiated in the perinatal and infant periods, when parental education-related environmental exposures—prenatal stress, postnatal language input, caregiving sensitivity—are already associated with differences in developing neural systems. Interventions targeting older preschool or school-age children may still produce benefits, but may be attempting to modify neural systems that have already consolidated SES-related differences over several years of development. This is consistent with the broader early childhood intervention literature emphasizing the importance of the first 1,000 days (Victora et al., 2008; see also Walker et al., 2011).</w:t>
      </w:r>
    </w:p>
    <w:p>
      <w:pPr>
        <w:pStyle w:val="Heading2"/>
        <w:spacing w:before="200" w:after="40" w:line="360" w:lineRule="auto"/>
      </w:pPr>
      <w:r>
        <w:rPr>
          <w:rFonts w:ascii="Times New Roman" w:hAnsi="Times New Roman"/>
          <w:b/>
          <w:sz w:val="26"/>
        </w:rPr>
        <w:t>4.3 Conditions under which associations are detectable: candidate moderators</w:t>
      </w:r>
    </w:p>
    <w:p>
      <w:pPr>
        <w:jc w:val="left"/>
        <w:spacing w:before="0" w:after="120" w:line="480" w:lineRule="auto"/>
      </w:pPr>
      <w:r>
        <w:rPr>
          <w:rFonts w:ascii="Times New Roman" w:hAnsi="Times New Roman"/>
          <w:b w:val="0"/>
          <w:i w:val="0"/>
          <w:sz w:val="24"/>
        </w:rPr>
        <w:t xml:space="preserve">The directional consistency of findings across 16 studies is striking, but the evidence base also reveals systematic variation in </w:t>
      </w:r>
      <w:r>
        <w:rPr>
          <w:rFonts w:ascii="Times New Roman" w:hAnsi="Times New Roman"/>
          <w:b w:val="0"/>
          <w:i/>
          <w:sz w:val="24"/>
        </w:rPr>
        <w:t>where</w:t>
      </w:r>
      <w:r>
        <w:rPr>
          <w:rFonts w:ascii="Times New Roman" w:hAnsi="Times New Roman"/>
          <w:b w:val="0"/>
          <w:i w:val="0"/>
          <w:sz w:val="24"/>
        </w:rPr>
        <w:t xml:space="preserve"> and </w:t>
      </w:r>
      <w:r>
        <w:rPr>
          <w:rFonts w:ascii="Times New Roman" w:hAnsi="Times New Roman"/>
          <w:b w:val="0"/>
          <w:i/>
          <w:sz w:val="24"/>
        </w:rPr>
        <w:t>under what conditions</w:t>
      </w:r>
      <w:r>
        <w:rPr>
          <w:rFonts w:ascii="Times New Roman" w:hAnsi="Times New Roman"/>
          <w:b w:val="0"/>
          <w:i w:val="0"/>
          <w:sz w:val="24"/>
        </w:rPr>
        <w:t xml:space="preserve"> parental education associations with neural development are most reliably observed. Four candidate moderating variables emerge from the current review.</w:t>
      </w:r>
    </w:p>
    <w:p>
      <w:pPr>
        <w:pStyle w:val="Heading3"/>
        <w:spacing w:before="160" w:after="40" w:line="360" w:lineRule="auto"/>
      </w:pPr>
      <w:r>
        <w:rPr>
          <w:rFonts w:ascii="Times New Roman" w:hAnsi="Times New Roman"/>
          <w:b/>
          <w:sz w:val="24"/>
        </w:rPr>
        <w:t>4.3.1 Neural system specificity</w:t>
      </w:r>
    </w:p>
    <w:p>
      <w:pPr>
        <w:jc w:val="left"/>
        <w:spacing w:before="0" w:after="120" w:line="480" w:lineRule="auto"/>
      </w:pPr>
      <w:r>
        <w:rPr>
          <w:rFonts w:ascii="Times New Roman" w:hAnsi="Times New Roman"/>
          <w:b w:val="0"/>
          <w:i w:val="0"/>
          <w:sz w:val="24"/>
        </w:rPr>
        <w:t xml:space="preserve">Parental education effects are not distributed uniformly across the brain. Across modalities, associations cluster in two functional systems: the </w:t>
      </w:r>
      <w:r>
        <w:rPr>
          <w:rFonts w:ascii="Times New Roman" w:hAnsi="Times New Roman"/>
          <w:b/>
          <w:i w:val="0"/>
          <w:sz w:val="24"/>
        </w:rPr>
        <w:t>language network</w:t>
      </w:r>
      <w:r>
        <w:rPr>
          <w:rFonts w:ascii="Times New Roman" w:hAnsi="Times New Roman"/>
          <w:b w:val="0"/>
          <w:i w:val="0"/>
          <w:sz w:val="24"/>
        </w:rPr>
        <w:t xml:space="preserve"> (arcuate fasciculus, inferior frontal gyrus, superior temporal regions) and the </w:t>
      </w:r>
      <w:r>
        <w:rPr>
          <w:rFonts w:ascii="Times New Roman" w:hAnsi="Times New Roman"/>
          <w:b/>
          <w:i w:val="0"/>
          <w:sz w:val="24"/>
        </w:rPr>
        <w:t>executive control and stress-regulation network</w:t>
      </w:r>
      <w:r>
        <w:rPr>
          <w:rFonts w:ascii="Times New Roman" w:hAnsi="Times New Roman"/>
          <w:b w:val="0"/>
          <w:i w:val="0"/>
          <w:sz w:val="24"/>
        </w:rPr>
        <w:t xml:space="preserve"> (anterior cingulate cortex, medial prefrontal cortex, amygdala–PFC circuitry). Seven of 16 studies implicated language-network regions as primary substrates (Turesky et al., 2022; Ozernov-Palchik et al., 2019; Demir-Lira et al., 2021; Brito &amp; Noble, 2020‡; Shephard et al., 2019; Maguire &amp; Schneider, 2019; Wienke et al., 2024), while five studies implicated prefrontal executive and stress-regulation circuitry (Conejero et al., 2018; Wijeakumar et al., 2019; Ursache &amp; Noble, 2016; Maguire &amp; Schneider, 2019; Ramphal et al., 2020). The remaining four studies (Stiver et al., 2015; McKinnon et al., 2023; Zhu et al., 2023; Lange et al., 2010) reported effects on global or distributed morphometry rather than specific networks. This pattern is not random: language and executive function are precisely the behavioral domains most reliably associated with parental education in the behavioral literature (Hoff, 2013; Blair &amp; Raver, 2016). The neural system specificity thus supports the theoretical coherence of the observed associations, and suggests that future studies focusing on fronto-temporal language circuitry and prefrontal regulatory networks are most likely to detect reliable parental education effects.</w:t>
      </w:r>
    </w:p>
    <w:p>
      <w:pPr>
        <w:jc w:val="left"/>
        <w:spacing w:before="0" w:after="120" w:line="480" w:lineRule="auto"/>
      </w:pPr>
      <w:r>
        <w:rPr>
          <w:rFonts w:ascii="Times New Roman" w:hAnsi="Times New Roman"/>
          <w:b w:val="0"/>
          <w:i w:val="0"/>
          <w:sz w:val="24"/>
        </w:rPr>
        <w:t>Among the seven language-network studies, five measured language-circuit anatomy or activation directly (Turesky et al., 2022; Ozernov-Palchik et al., 2019; Demir-Lira et al., 2021; Brito &amp; Noble, 2020‡; Wienke et al., 2024); two studies (Shephard et al., 2019; Maguire &amp; Schneider, 2019) measured EEG alpha indices that serve as indirect proxies for thalamocortical and prefrontal maturation rather than language-circuit anatomy per se. ‡Brito &amp; Noble (2020) reported a nominally significant association that did not survive FDR correction and should be interpreted cautiously (see Section 4.3.4). Wienke et al. (2024), also using an auditory ERP paradigm targeting speech discrimination, produced the review's only negative finding; as discussed in Section 4.3.3, this result is consistent with migration-related contextual factors specific to that sample rather than the absence of a language-network association per se.</w:t>
      </w:r>
    </w:p>
    <w:p>
      <w:pPr>
        <w:jc w:val="left"/>
        <w:spacing w:before="0" w:after="120" w:line="480" w:lineRule="auto"/>
      </w:pPr>
      <w:r>
        <w:rPr>
          <w:rFonts w:ascii="Times New Roman" w:hAnsi="Times New Roman"/>
          <w:b/>
          <w:i w:val="0"/>
          <w:sz w:val="24"/>
        </w:rPr>
        <w:t>Table 2. Distribution of neural system specificity across 16 included studies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Neural system</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k</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Representative studies</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Language network (arcuate fasciculus, IFG, STG)</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 Ozernov-Palchik et al. (2019); Demir-Lira et al. (2021)</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Executive control / stress-regulation (ACC, mPFC, amygdala–PFC)</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 Ramphal et al. (2020); Ursache &amp; Noble (2016)</w:t>
            </w:r>
          </w:p>
        </w:tc>
      </w:tr>
      <w:tr>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Global / distributed morphometry</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 Zhu et al. (2023); Stiver et al. (2015); Lange et al. (2010)†</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Maguire &amp; Schneider (2019) contributed to both the language network and executive control counts (alpha power as language-maturation proxy; vocabulary and working memory as executive outcomes); total </w:t>
      </w:r>
      <w:r>
        <w:rPr>
          <w:rFonts w:ascii="Times New Roman" w:hAnsi="Times New Roman"/>
          <w:b w:val="0"/>
          <w:i/>
          <w:sz w:val="20"/>
        </w:rPr>
        <w:t>k</w:t>
      </w:r>
      <w:r>
        <w:rPr>
          <w:rFonts w:ascii="Times New Roman" w:hAnsi="Times New Roman"/>
          <w:b w:val="0"/>
          <w:i w:val="0"/>
          <w:sz w:val="20"/>
        </w:rPr>
        <w:t xml:space="preserve"> across categories therefore exceeds 16. †Lange et al. (2010) is categorised under global morphometry for tabulation purposes; its primary finding was an association between parental education and verbal IQ, with brain volume included as a covariate rather than a primary neural outcome (see §3.5.1). ‡Brito &amp; Noble (2020) is included in the language-network category because posterior alpha/beta power in infancy serves as a general index of thalamocortical maturation supporting early language processing (Marshall &amp; Meltzoff, 2014), though this categorisation is indirect; the association also did not survive FDR correction (see §4.3.4).</w:t>
      </w:r>
    </w:p>
    <w:p>
      <w:pPr>
        <w:pStyle w:val="Heading3"/>
        <w:spacing w:before="160" w:after="40" w:line="360" w:lineRule="auto"/>
      </w:pPr>
      <w:r>
        <w:rPr>
          <w:rFonts w:ascii="Times New Roman" w:hAnsi="Times New Roman"/>
          <w:b/>
          <w:sz w:val="24"/>
        </w:rPr>
        <w:t>4.3.2 Developmental age</w:t>
      </w:r>
    </w:p>
    <w:p>
      <w:pPr>
        <w:jc w:val="left"/>
        <w:spacing w:before="0" w:after="120" w:line="480" w:lineRule="auto"/>
      </w:pPr>
      <w:r>
        <w:rPr>
          <w:rFonts w:ascii="Times New Roman" w:hAnsi="Times New Roman"/>
          <w:b w:val="0"/>
          <w:i w:val="0"/>
          <w:sz w:val="24"/>
        </w:rPr>
        <w:t>Organising the included studies by developmental stage—infancy (0–2 years), toddler/preschool (3–5 years), childhood (6–12 years), and early adolescence (12–18 years)—reveals a striking imbalance in research coverage and points to a critical gap in the current evidence base. Studies are classified by their primary measurement age; studies whose samples span multiple windows are counted once in the window containing their primary age range, with cross-window coverage noted where relevant. Zhu et al. (2023), whose MRI assessments spanned 1.5–8 years continuously, is an exception and is noted in both the infancy and childhood windows.</w:t>
      </w:r>
    </w:p>
    <w:p>
      <w:pPr>
        <w:jc w:val="left"/>
        <w:spacing w:before="0" w:after="120" w:line="480" w:lineRule="auto"/>
      </w:pPr>
      <w:r>
        <w:rPr>
          <w:rFonts w:ascii="Times New Roman" w:hAnsi="Times New Roman"/>
          <w:b/>
          <w:i w:val="0"/>
          <w:sz w:val="24"/>
        </w:rPr>
        <w:t>Infancy (0–2 years; *k* = 9).</w:t>
      </w:r>
      <w:r>
        <w:rPr>
          <w:rFonts w:ascii="Times New Roman" w:hAnsi="Times New Roman"/>
          <w:b w:val="0"/>
          <w:i w:val="0"/>
          <w:sz w:val="24"/>
        </w:rPr>
        <w:t xml:space="preserve"> The evidence base is most concentrated in this period. Three neonatal studies established associations detectable before substantial postnatal experience had accrued: one scanning full-term infants within four days of birth (Ramphal et al., 2020) and two examining very preterm infants during the NICU period at term-equivalent age (McKinnon et al., 2023; Konrad et al., 2024), all consistent with prenatal origins. A further six studies examined infants and toddlers up to approximately 2 years of age (Wienke et al., 2024; Brito &amp; Noble, 2020; Turesky et al., 2022; Shephard et al., 2019; Conejero et al., 2018; Stiver et al., 2015), spanning EEG, ERP, DTI, and structural MRI modalities. Eight of the nine studies in this window reported positive associations; the single exception (Wienke et al., 2024) is attributable to migration-related contextual factors as discussed in Section 4.3.3. Note: Zhu et al. (2023), whose longitudinal MRI assessments spanned birth through 8 years, is counted only in the Childhood window below and is not included in the k = 9 above.</w:t>
      </w:r>
    </w:p>
    <w:p>
      <w:pPr>
        <w:jc w:val="left"/>
        <w:spacing w:before="0" w:after="120" w:line="480" w:lineRule="auto"/>
      </w:pPr>
      <w:r>
        <w:rPr>
          <w:rFonts w:ascii="Times New Roman" w:hAnsi="Times New Roman"/>
          <w:b/>
          <w:i w:val="0"/>
          <w:sz w:val="24"/>
        </w:rPr>
        <w:t>Toddler and preschool period (3–5 years; *k* = 0).</w:t>
      </w:r>
      <w:r>
        <w:rPr>
          <w:rFonts w:ascii="Times New Roman" w:hAnsi="Times New Roman"/>
          <w:b w:val="0"/>
          <w:i w:val="0"/>
          <w:sz w:val="24"/>
        </w:rPr>
        <w:t xml:space="preserve"> Notably, no study in the current review examined parental education effects on neural development in children aged 3–5 years. This is a period characterised by rapid language acquisition—vocabulary expanding from approximately 200 to 2,000 words—and the emergence of executive function capacities including inhibitory control and working memory (Diamond, 2013). It is also the developmental window in which parental language input and cognitive scaffolding are hypothesised to be most directly translated into neural organisation. The complete absence of neuroimaging evidence for this age range represents the most critical missing window in the current evidence base, and constitutes a direct gap between the prenatal/neonatal evidence and the school-age evidence reviewed here.</w:t>
      </w:r>
    </w:p>
    <w:p>
      <w:pPr>
        <w:jc w:val="left"/>
        <w:spacing w:before="0" w:after="120" w:line="480" w:lineRule="auto"/>
      </w:pPr>
      <w:r>
        <w:rPr>
          <w:rFonts w:ascii="Times New Roman" w:hAnsi="Times New Roman"/>
          <w:b/>
          <w:i w:val="0"/>
          <w:sz w:val="24"/>
        </w:rPr>
        <w:t>Childhood (6–12 years; *k* = 7).</w:t>
      </w:r>
      <w:r>
        <w:rPr>
          <w:rFonts w:ascii="Times New Roman" w:hAnsi="Times New Roman"/>
          <w:b w:val="0"/>
          <w:i w:val="0"/>
          <w:sz w:val="24"/>
        </w:rPr>
        <w:t xml:space="preserve"> Seven studies included children in the school-age period, including the longitudinal trajectories reported by Zhu et al. (2023) in the upper portion of their 1.5–8 year range. All seven reported positive associations (Wijeakumar et al., 2019; Ozernov-Palchik et al., 2019; Demir-Lira et al., 2021; Maguire &amp; Schneider, 2019; Ursache &amp; Noble, 2016; Zhu et al., 2023; Lange et al., 2010), making this the developmental window with the highest directional consistency in the review. Note that four of these seven studies (Demir-Lira et al., 2021, aged 6–13y; Maguire &amp; Schneider, 2019, aged 8–15y; Ursache &amp; Noble, 2016, aged 3–21y; Lange et al., 2010, aged 4–18y) included participants extending beyond the 0–8 year target window, but each reported primary effects or subgroup analyses within the school-age range. Several of these studies explicitly controlled for household income, confirming that parental education confers independent neural advantages beyond financial resources during this period.</w:t>
      </w:r>
    </w:p>
    <w:p>
      <w:pPr>
        <w:jc w:val="left"/>
        <w:spacing w:before="0" w:after="120" w:line="480" w:lineRule="auto"/>
      </w:pPr>
      <w:r>
        <w:rPr>
          <w:rFonts w:ascii="Times New Roman" w:hAnsi="Times New Roman"/>
          <w:b/>
          <w:i w:val="0"/>
          <w:sz w:val="24"/>
        </w:rPr>
        <w:t>Early adolescence (12–18 years).</w:t>
      </w:r>
      <w:r>
        <w:rPr>
          <w:rFonts w:ascii="Times New Roman" w:hAnsi="Times New Roman"/>
          <w:b w:val="0"/>
          <w:i w:val="0"/>
          <w:sz w:val="24"/>
        </w:rPr>
        <w:t xml:space="preserve"> Two studies whose samples extended into adolescence—Maguire &amp; Schneider (2019; aged 8–15 years) and Lange et al. (2010; aged 4–18 years)—are both classified in the childhood window above given their primary focus on school-age children. Both reported positive associations extending into the adolescent age range, but the adolescent-specific evidence base is too sparse to draw conclusions specific to this developmental window.</w:t>
      </w:r>
    </w:p>
    <w:p>
      <w:pPr>
        <w:jc w:val="left"/>
        <w:spacing w:before="0" w:after="120" w:line="480" w:lineRule="auto"/>
      </w:pPr>
      <w:r>
        <w:rPr>
          <w:rFonts w:ascii="Times New Roman" w:hAnsi="Times New Roman"/>
          <w:b w:val="0"/>
          <w:i w:val="0"/>
          <w:sz w:val="24"/>
        </w:rPr>
        <w:t>This age-stratified view clarifies that the directional consistency observed across all 16 studies does not imply uniform evidence density. The field has concentrated on the neonatal–infant period and the school-age period, leaving a conspicuous gap at the 3–5 year window. Future research targeting this preschool period—using EEG, fNIRS, or structural MRI designs adapted for young children—would substantially advance understanding of how parental education effects accumulate across the most language-sensitive developmental interval.</w:t>
      </w:r>
    </w:p>
    <w:p>
      <w:pPr>
        <w:pStyle w:val="Heading3"/>
        <w:spacing w:before="160" w:after="40" w:line="360" w:lineRule="auto"/>
      </w:pPr>
      <w:r>
        <w:rPr>
          <w:rFonts w:ascii="Times New Roman" w:hAnsi="Times New Roman"/>
          <w:b/>
          <w:sz w:val="24"/>
        </w:rPr>
        <w:t>4.3.3 Cultural and migration context: the Wienke exception</w:t>
      </w:r>
    </w:p>
    <w:p>
      <w:pPr>
        <w:jc w:val="left"/>
        <w:spacing w:before="0" w:after="120" w:line="480" w:lineRule="auto"/>
      </w:pPr>
      <w:r>
        <w:rPr>
          <w:rFonts w:ascii="Times New Roman" w:hAnsi="Times New Roman"/>
          <w:b w:val="0"/>
          <w:i w:val="0"/>
          <w:sz w:val="24"/>
        </w:rPr>
        <w:t>The single negative finding in this review—Wienke et al. (2024), reporting reduced ERP differentiation in infants of lower-educated parents in a German sample—warrants specific attention as a potential moderator. Wienke's sample was predominantly composed of migrant families, in whom parental education level may carry different meaning than in the majority-culture samples that constitute the remaining 15 studies. Two competing explanations deserve consideration.</w:t>
      </w:r>
    </w:p>
    <w:p>
      <w:pPr>
        <w:jc w:val="left"/>
        <w:spacing w:before="0" w:after="120" w:line="480" w:lineRule="auto"/>
      </w:pPr>
      <w:r>
        <w:rPr>
          <w:rFonts w:ascii="Times New Roman" w:hAnsi="Times New Roman"/>
          <w:b w:val="0"/>
          <w:i w:val="0"/>
          <w:sz w:val="24"/>
        </w:rPr>
        <w:t xml:space="preserve">The first is </w:t>
      </w:r>
      <w:r>
        <w:rPr>
          <w:rFonts w:ascii="Times New Roman" w:hAnsi="Times New Roman"/>
          <w:b/>
          <w:i w:val="0"/>
          <w:sz w:val="24"/>
        </w:rPr>
        <w:t>educational credential devaluation</w:t>
      </w:r>
      <w:r>
        <w:rPr>
          <w:rFonts w:ascii="Times New Roman" w:hAnsi="Times New Roman"/>
          <w:b w:val="0"/>
          <w:i w:val="0"/>
          <w:sz w:val="24"/>
        </w:rPr>
        <w:t xml:space="preserve">: in migrant contexts, formal educational qualifications obtained abroad are frequently not recognized by host-country institutions and labour markets, meaning that the educational resources a parent actually possesses—including language proficiency, cultural capital, and occupational resources—may not correspond to their years of schooling in the way they would in the country where education was obtained. If the mechanism linking parental education to neural development operates through the </w:t>
      </w:r>
      <w:r>
        <w:rPr>
          <w:rFonts w:ascii="Times New Roman" w:hAnsi="Times New Roman"/>
          <w:b w:val="0"/>
          <w:i/>
          <w:sz w:val="24"/>
        </w:rPr>
        <w:t>quality of the home learning environment</w:t>
      </w:r>
      <w:r>
        <w:rPr>
          <w:rFonts w:ascii="Times New Roman" w:hAnsi="Times New Roman"/>
          <w:b w:val="0"/>
          <w:i w:val="0"/>
          <w:sz w:val="24"/>
        </w:rPr>
        <w:t xml:space="preserve"> rather than through years of schooling per se, then devaluation of educational credentials in migrant families would attenuate or reverse the expected association.</w:t>
      </w:r>
    </w:p>
    <w:p>
      <w:pPr>
        <w:jc w:val="left"/>
        <w:spacing w:before="0" w:after="120" w:line="480" w:lineRule="auto"/>
      </w:pPr>
      <w:r>
        <w:rPr>
          <w:rFonts w:ascii="Times New Roman" w:hAnsi="Times New Roman"/>
          <w:b w:val="0"/>
          <w:i w:val="0"/>
          <w:sz w:val="24"/>
        </w:rPr>
        <w:t xml:space="preserve">The second is </w:t>
      </w:r>
      <w:r>
        <w:rPr>
          <w:rFonts w:ascii="Times New Roman" w:hAnsi="Times New Roman"/>
          <w:b/>
          <w:i w:val="0"/>
          <w:sz w:val="24"/>
        </w:rPr>
        <w:t>multilingual input heterogeneity</w:t>
      </w:r>
      <w:r>
        <w:rPr>
          <w:rFonts w:ascii="Times New Roman" w:hAnsi="Times New Roman"/>
          <w:b w:val="0"/>
          <w:i w:val="0"/>
          <w:sz w:val="24"/>
        </w:rPr>
        <w:t>: infants in multilingual households receive phonological input from multiple language systems, which may produce neural differentiation patterns in auditory processing paradigms that differ from those observed in monolingual majority-language infants. In the Wienke paradigm specifically—an auditory oddball paradigm using German speech stimuli—infants whose primary home language was not German may show reduced differentiation of German-specific phonemic contrasts irrespective of parental education level, confounding the education effect.</w:t>
      </w:r>
    </w:p>
    <w:p>
      <w:pPr>
        <w:jc w:val="left"/>
        <w:spacing w:before="0" w:after="120" w:line="480" w:lineRule="auto"/>
      </w:pPr>
      <w:r>
        <w:rPr>
          <w:rFonts w:ascii="Times New Roman" w:hAnsi="Times New Roman"/>
          <w:b w:val="0"/>
          <w:i w:val="0"/>
          <w:sz w:val="24"/>
        </w:rPr>
        <w:t>These two explanations cannot be disentangled with the available data, as Wienke et al. (2024) did not separately analyse the migrant sub-sample or report language-of-testing breakdowns by education group. However, both explanations converge on the same prediction: the association between parental education and neural development is consistent with being substantially moderated by whether the family belongs to the cultural and linguistic mainstream of the society in which the study is conducted. This hypothesis is directly testable in future studies using stratified analyses by migration status and home language environment, and has important implications for the generalizability of findings from predominantly majority-culture, English-speaking samples to the global population.</w:t>
      </w:r>
    </w:p>
    <w:p>
      <w:pPr>
        <w:pStyle w:val="Heading3"/>
        <w:spacing w:before="160" w:after="40" w:line="360" w:lineRule="auto"/>
      </w:pPr>
      <w:r>
        <w:rPr>
          <w:rFonts w:ascii="Times New Roman" w:hAnsi="Times New Roman"/>
          <w:b/>
          <w:sz w:val="24"/>
        </w:rPr>
        <w:t>4.3.4 Operationalization of parental education</w:t>
      </w:r>
    </w:p>
    <w:p>
      <w:pPr>
        <w:jc w:val="left"/>
        <w:spacing w:before="0" w:after="120" w:line="480" w:lineRule="auto"/>
      </w:pPr>
      <w:r>
        <w:rPr>
          <w:rFonts w:ascii="Times New Roman" w:hAnsi="Times New Roman"/>
          <w:b w:val="0"/>
          <w:i w:val="0"/>
          <w:sz w:val="24"/>
        </w:rPr>
        <w:t xml:space="preserve">A potential methodological moderator is how parental education was measured. Across 16 studies, two distinct classification dimensions are relevant. In terms of </w:t>
      </w:r>
      <w:r>
        <w:rPr>
          <w:rFonts w:ascii="Times New Roman" w:hAnsi="Times New Roman"/>
          <w:b/>
          <w:i w:val="0"/>
          <w:sz w:val="24"/>
        </w:rPr>
        <w:t>operationalization independence</w:t>
      </w:r>
      <w:r>
        <w:rPr>
          <w:rFonts w:ascii="Times New Roman" w:hAnsi="Times New Roman"/>
          <w:b w:val="0"/>
          <w:i w:val="0"/>
          <w:sz w:val="24"/>
        </w:rPr>
        <w:t xml:space="preserve">, education was the sole SES exposure in 9 studies (edu-only) and one component of a composite SES index with a separately estimable coefficient in 7 studies (composite-separable). In terms of </w:t>
      </w:r>
      <w:r>
        <w:rPr>
          <w:rFonts w:ascii="Times New Roman" w:hAnsi="Times New Roman"/>
          <w:b/>
          <w:i w:val="0"/>
          <w:sz w:val="24"/>
        </w:rPr>
        <w:t>measurement format</w:t>
      </w:r>
      <w:r>
        <w:rPr>
          <w:rFonts w:ascii="Times New Roman" w:hAnsi="Times New Roman"/>
          <w:b w:val="0"/>
          <w:i w:val="0"/>
          <w:sz w:val="24"/>
        </w:rPr>
        <w:t xml:space="preserve">, education was operationalized as continuous years of schooling in approximately 9 studies, and as categorical degree attainment (e.g., university vs. lower) in approximately 6 studies; one study (Ramphal et al., 2020) did not specify the format precisely. These two dimensions are orthogonal: studies with composite-separable operationalizations used both continuous and categorical formats. Both positive findings and the single negative finding were distributed across operationalization types, suggesting that the direction of the association does not depend on measurement format. However, the </w:t>
      </w:r>
      <w:r>
        <w:rPr>
          <w:rFonts w:ascii="Times New Roman" w:hAnsi="Times New Roman"/>
          <w:b w:val="0"/>
          <w:i/>
          <w:sz w:val="24"/>
        </w:rPr>
        <w:t>magnitude</w:t>
      </w:r>
      <w:r>
        <w:rPr>
          <w:rFonts w:ascii="Times New Roman" w:hAnsi="Times New Roman"/>
          <w:b w:val="0"/>
          <w:i w:val="0"/>
          <w:sz w:val="24"/>
        </w:rPr>
        <w:t xml:space="preserve"> of associations may vary: continuous operationalizations can detect gradients across the full distribution, whereas binary categorizations (e.g., university degree vs. lower) necessarily focus on a single threshold. As discussed in Section 4.4.3 below, distinguishing gradient from threshold effects is a priority for future research, and will require designs that preserve continuous variation across the full education distribution.</w:t>
      </w:r>
    </w:p>
    <w:p>
      <w:pPr>
        <w:jc w:val="left"/>
        <w:spacing w:before="0" w:after="120" w:line="480" w:lineRule="auto"/>
      </w:pPr>
      <w:r>
        <w:rPr>
          <w:rFonts w:ascii="Times New Roman" w:hAnsi="Times New Roman"/>
          <w:b w:val="0"/>
          <w:i w:val="0"/>
          <w:sz w:val="24"/>
        </w:rPr>
        <w:t>One finding within this review warrants specific attention as a case where the association was present at nominal significance but did not survive correction for multiple comparisons. Brito &amp; Noble (2020) reported that parental education was positively associated with posterior alpha/beta EEG power in 6–12-month-old infants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but this association did not survive false-discovery rate (FDR) correction across the full set of frequency-band and electrode comparisons tested. The study is classified as positive in Table 1 on the basis of its nominally significant, correctly-directed association, but the failure to survive FDR correction means the finding should be interpreted with caution and weighted accordingly. Its failure to survive FDR correction more likely reflects the combination of a relatively small effect size and the inferential cost of testing multiple outcomes simultaneously, rather than a genuine absence of association—but this cannot be ruled out. The Brito &amp; Noble (2020) sample spanned the full SES range and used a composite-separable operationalization of parental education controlling for income and other SES indicators, making sample restriction an unlikely explanation for the attenuated result. This suggests that EEG power during the 6–12-month period may be a less sensitive neural index of parental education than white matter microstructure (detectable at the same age in Turesky et al., 2022), possibly because alpha oscillations are still in a relatively undifferentiated state at 6–12 months and individual differences attributable to environmental factors are not yet reliably captured by power metrics at the scalp surface. Future studies with larger samples and pre-specified primary outcomes would clarify whether this result reflects a true absence of an EEG power association at this age or a power limitation of the existing literature.</w:t>
      </w:r>
    </w:p>
    <w:p>
      <w:pPr>
        <w:pStyle w:val="Heading2"/>
        <w:spacing w:before="200" w:after="40" w:line="360" w:lineRule="auto"/>
      </w:pPr>
      <w:r>
        <w:rPr>
          <w:rFonts w:ascii="Times New Roman" w:hAnsi="Times New Roman"/>
          <w:b/>
          <w:sz w:val="26"/>
        </w:rPr>
        <w:t>4.4 Mechanistic pathways: what the evidence constrains</w:t>
      </w:r>
    </w:p>
    <w:p>
      <w:pPr>
        <w:pStyle w:val="Heading3"/>
        <w:spacing w:before="160" w:after="40" w:line="360" w:lineRule="auto"/>
      </w:pPr>
      <w:r>
        <w:rPr>
          <w:rFonts w:ascii="Times New Roman" w:hAnsi="Times New Roman"/>
          <w:b/>
          <w:sz w:val="24"/>
        </w:rPr>
        <w:t>4.4.1 The only direct mediation test</w:t>
      </w:r>
    </w:p>
    <w:p>
      <w:pPr>
        <w:jc w:val="left"/>
        <w:spacing w:before="0" w:after="120" w:line="480" w:lineRule="auto"/>
      </w:pPr>
      <w:r>
        <w:rPr>
          <w:rFonts w:ascii="Times New Roman" w:hAnsi="Times New Roman"/>
          <w:b w:val="0"/>
          <w:i w:val="0"/>
          <w:sz w:val="24"/>
        </w:rPr>
        <w:t>Among the 16 included studies, Ursache &amp; Noble (2016) uniquely tested a direct mediation pathway, demonstrating that white matter microstructure in frontoparietal tracts partially mediated the association between parental education and executive function performance. This constitutes the only direct neural mechanism evidence in the current evidence base; all other mechanistic accounts remain inferential from indirect evidence.</w:t>
      </w:r>
    </w:p>
    <w:p>
      <w:pPr>
        <w:pStyle w:val="Heading3"/>
        <w:spacing w:before="160" w:after="40" w:line="360" w:lineRule="auto"/>
      </w:pPr>
      <w:r>
        <w:rPr>
          <w:rFonts w:ascii="Times New Roman" w:hAnsi="Times New Roman"/>
          <w:b/>
          <w:sz w:val="24"/>
        </w:rPr>
        <w:t>4.4.2 Prenatal mechanisms are a necessary component</w:t>
      </w:r>
    </w:p>
    <w:p>
      <w:pPr>
        <w:jc w:val="left"/>
        <w:spacing w:before="0" w:after="120" w:line="480" w:lineRule="auto"/>
      </w:pPr>
      <w:r>
        <w:rPr>
          <w:rFonts w:ascii="Times New Roman" w:hAnsi="Times New Roman"/>
          <w:b w:val="0"/>
          <w:i w:val="0"/>
          <w:sz w:val="24"/>
        </w:rPr>
        <w:t>Three studies measured neural outcomes in the neonatal period, prior to the accumulation of substantial postnatal environmental experience. Most directly, Ramphal et al. (2020) detected parental education associations with amygdala–prefrontal functional connectivity in full-term neonates scanned within four days of birth—a window too brief for postnatal language or caregiving inputs to have shaped functional brain connectivity, implying that fetal programming is a necessary component of the observed association. McKinnon et al. (2023), measuring neonatal brain morphology at term-equivalent age in a mixed preterm and full-term cohort after several weeks of NICU care for the preterm infants, similarly found that maternal education was associated with regional brain volumes before meaningful independent learning experience had accumulated. Konrad et al. (2024), studying 162 very preterm neonates with two MRI acquisitions spanning the NICU period, found that maternal education moderated the relationship between neonatal hippocampal development and 18-month cognitive outcome—demonstrating that the functional significance of early hippocampal organization is already shaped by maternal education within the preterm period, before substantial independent postnatal experience accrues. Together, these neonatal findings constrain the mechanistic account: cognitive stimulation and language input pathways can explain post-birth associations, but cannot account for differences already present at birth. Prenatal exposure mechanisms—including gestational stress, fetal cortisol exposure, and nutritional differences—are therefore necessary rather than optional components of any complete mechanistic model.</w:t>
      </w:r>
    </w:p>
    <w:p>
      <w:pPr>
        <w:pStyle w:val="Heading3"/>
        <w:spacing w:before="160" w:after="40" w:line="360" w:lineRule="auto"/>
      </w:pPr>
      <w:r>
        <w:rPr>
          <w:rFonts w:ascii="Times New Roman" w:hAnsi="Times New Roman"/>
          <w:b/>
          <w:sz w:val="24"/>
        </w:rPr>
        <w:t>4.4.3 The gradient versus threshold question: what the current evidence permits</w:t>
      </w:r>
    </w:p>
    <w:p>
      <w:pPr>
        <w:jc w:val="left"/>
        <w:spacing w:before="0" w:after="120" w:line="480" w:lineRule="auto"/>
      </w:pPr>
      <w:r>
        <w:rPr>
          <w:rFonts w:ascii="Times New Roman" w:hAnsi="Times New Roman"/>
          <w:b w:val="0"/>
          <w:i w:val="0"/>
          <w:sz w:val="24"/>
        </w:rPr>
        <w:t>A central theoretical question in this literature, raised prominently by Noble et al. (2015) in a large structural MRI study, is whether the association between SES and brain development follows a full-range linear gradient—with advantages accruing at every increment of the education distribution—or whether effects are concentrated at the lower end, reflecting a deprivation threshold below which neural development is compromised. No included study in the present review directly tested for non-linear effects; all 16 studies modelled parental education as a continuous linear predictor or as a simple categorical comparison. A definitive empirical resolution of the gradient versus threshold debate for parental education in the 0–8 year age range therefore awaits studies that explicitly model non-linearity. However, the current evidence is not entirely agnostic between the two models.</w:t>
      </w:r>
    </w:p>
    <w:p>
      <w:pPr>
        <w:jc w:val="left"/>
        <w:spacing w:before="0" w:after="120" w:line="480" w:lineRule="auto"/>
      </w:pPr>
      <w:r>
        <w:rPr>
          <w:rFonts w:ascii="Times New Roman" w:hAnsi="Times New Roman"/>
          <w:b w:val="0"/>
          <w:i w:val="0"/>
          <w:sz w:val="24"/>
        </w:rPr>
        <w:t xml:space="preserve">Three features of the reviewed evidence offer indirect support for a gradient rather than a pure deprivation threshold. First, the two studies using full-range continuous education samples—Brito &amp; Noble (2020; </w:t>
      </w:r>
      <w:r>
        <w:rPr>
          <w:rFonts w:ascii="Times New Roman" w:hAnsi="Times New Roman"/>
          <w:b w:val="0"/>
          <w:i/>
          <w:sz w:val="24"/>
        </w:rPr>
        <w:t>β</w:t>
      </w:r>
      <w:r>
        <w:rPr>
          <w:rFonts w:ascii="Times New Roman" w:hAnsi="Times New Roman"/>
          <w:b w:val="0"/>
          <w:i w:val="0"/>
          <w:sz w:val="24"/>
        </w:rPr>
        <w:t xml:space="preserve"> = 0.05 for posterior EEG power, sample spanning &lt; high school to graduate degree) and Ozernov-Palchik et al. (2019; </w:t>
      </w:r>
      <w:r>
        <w:rPr>
          <w:rFonts w:ascii="Times New Roman" w:hAnsi="Times New Roman"/>
          <w:b w:val="0"/>
          <w:i/>
          <w:sz w:val="24"/>
        </w:rPr>
        <w:t>r</w:t>
      </w:r>
      <w:r>
        <w:rPr>
          <w:rFonts w:ascii="Times New Roman" w:hAnsi="Times New Roman"/>
          <w:b w:val="0"/>
          <w:i w:val="0"/>
          <w:sz w:val="24"/>
        </w:rPr>
        <w:t xml:space="preserve"> = 0.33 for arcuate FA, sample spanning &lt; high school to graduate degree)—both detected effects that were modelled as linear associations across the full education distribution, not as categorical contrasts restricted to the lowest-educated group. If effects were concentrated exclusively at the deprivation end, one would not expect continuous linear associations to reach significance in these full-range samples; their presence is more consistent with a gradient account, though the linear model does not preclude additional non-linearity at the lower tail. Second, Ozernov-Palchik et al. (2019) explicitly controlled for household income when modelling the education–white matter association (</w:t>
      </w:r>
      <w:r>
        <w:rPr>
          <w:rFonts w:ascii="Times New Roman" w:hAnsi="Times New Roman"/>
          <w:b w:val="0"/>
          <w:i/>
          <w:sz w:val="24"/>
        </w:rPr>
        <w:t>r</w:t>
      </w:r>
      <w:r>
        <w:rPr>
          <w:rFonts w:ascii="Times New Roman" w:hAnsi="Times New Roman"/>
          <w:b w:val="0"/>
          <w:i w:val="0"/>
          <w:sz w:val="24"/>
        </w:rPr>
        <w:t xml:space="preserve"> = 0.33 after income control), and the effect persisted across the full range. Pure deprivation threshold accounts predict that effects diminish sharply or disappear once income is controlled, because it is material deprivation rather than education per se that drives neural compromise; the persistence of the education signal across the distribution is more consistent with a gradient mechanism operating via language input quality at every education level. Third, the DTI findings in Turesky et al. (2022)—detected in infants from a sample not restricted to low-SES families—similarly suggest that education-related differences in arcuate fasciculus development are not confined to an extreme lower tail. Taken together, these observations are consistent with a gradient interpretation, while acknowledging that none of the studies was designed to test this question directly.</w:t>
      </w:r>
    </w:p>
    <w:p>
      <w:pPr>
        <w:jc w:val="left"/>
        <w:spacing w:before="0" w:after="120" w:line="480" w:lineRule="auto"/>
      </w:pPr>
      <w:r>
        <w:rPr>
          <w:rFonts w:ascii="Times New Roman" w:hAnsi="Times New Roman"/>
          <w:b w:val="0"/>
          <w:i w:val="0"/>
          <w:sz w:val="24"/>
        </w:rPr>
        <w:t>Resolving the gradient versus threshold question definitively will require studies that either deliberately oversample the lower end of the education distribution to increase statistical power to detect threshold effects, or that explicitly model polynomial or spline terms in the education–brain relationship in large full-range samples. This represents a critical design priority for future neuroimaging research, given the distinct policy implications of the two models: a gradient implies that interventions at every level of disadvantage may yield neural benefits, whereas a threshold model prioritises resources for the most deprived families.</w:t>
      </w:r>
    </w:p>
    <w:p>
      <w:pPr>
        <w:pStyle w:val="Heading2"/>
        <w:spacing w:before="200" w:after="40" w:line="360" w:lineRule="auto"/>
      </w:pPr>
      <w:r>
        <w:rPr>
          <w:rFonts w:ascii="Times New Roman" w:hAnsi="Times New Roman"/>
          <w:b/>
          <w:sz w:val="26"/>
        </w:rPr>
        <w:t>4.5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findings were heterogeneous across the two included studies: Conejero et al. (2018) found larger ERN amplitude at fronto-central electrodes associated with higher parental education, consistent with more advanced error-monitoring development; Wienke et al. (2024), using an MMN paradigm targeting auditory discrimination, produced the review's only negative result. The ERP evidence therefore does not converge on a consistent pattern, and this modality is noted here for completeness rather than as evidence of cross-modal convergence. In fNIRS, greater inferior frontal gyrus activation was found. In fMRI, effects clustered in medial prefrontal cortex (amygdala–PFC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4.6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val="0"/>
          <w:i w:val="0"/>
          <w:sz w:val="24"/>
        </w:rPr>
        <w:t>The most variable feature across studies was how parental education was measured. Across 16 studies, parental education was operationalized in at least six distinct ways (maternal years, paternal years, mean parental years, highest parental level, binary degree attainment, composite-separable). Notably, 7 of 16 studies operationalized education specifically as maternal education; the remaining 9 studies used a combined or highest-parental measure.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Where this review's findings reflect primarily maternal education associations (7 studies), caution is warranted in generalising conclusions to paternal or combined-parental education effects.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val="0"/>
          <w:i w:val="0"/>
          <w:sz w:val="24"/>
        </w:rPr>
        <w:t>No included study directly measured the hypothesized mediating variables alongside neural outcomes. As noted in Section 3.6,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val="0"/>
          <w:i w:val="0"/>
          <w:sz w:val="24"/>
        </w:rPr>
        <w:t>Geographic and cultural concentration is a further limitation. Despite spanning 10 countries or regions,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val="0"/>
          <w:i w:val="0"/>
          <w:sz w:val="24"/>
        </w:rPr>
        <w:t xml:space="preserve">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val="0"/>
          <w:i w:val="0"/>
          <w:sz w:val="24"/>
        </w:rPr>
        <w:t>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val="0"/>
          <w:i w:val="0"/>
          <w:sz w:val="24"/>
        </w:rPr>
        <w:t>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val="0"/>
          <w:i w:val="0"/>
          <w:sz w:val="24"/>
        </w:rPr>
        <w:t>The requirement that parental education have an independently estimable regression coefficient introduces a second, distinct form of selection bias. Studies in which parental education showed no independent association with neural outcomes are more likely to have operationalized education as part of a composite index without a separately reported coefficient—and thus be excluded under the E2 criterion. The high positive rate observed in this review may therefore partly reflect the structure of the inclusion criterion rather than solely the biological reality. This source of selection bias is conceptually separable from publication bias: it operates at the level of how parental education was modelled (and thus reported) rather than at the level of whether null studies were submitted for publication. Readers should interpret the directional consistency with awareness that the reviewed evidence base is necessarily drawn from studies in which an independent education signal was sufficiently prominent to be modelled and reported separately, and that both publication bias and inclusion-criterion selection may jointly contribute to the observed proportion of positive findings.</w:t>
      </w:r>
    </w:p>
    <w:p>
      <w:pPr>
        <w:jc w:val="left"/>
        <w:spacing w:before="0" w:after="120" w:line="480" w:lineRule="auto"/>
      </w:pPr>
      <w:r>
        <w:rPr>
          <w:rFonts w:ascii="Times New Roman" w:hAnsi="Times New Roman"/>
          <w:b w:val="0"/>
          <w:i w:val="0"/>
          <w:sz w:val="24"/>
        </w:rPr>
        <w:t>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Branigan et al., 2013).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jc w:val="left"/>
        <w:spacing w:before="0" w:after="120" w:line="480" w:lineRule="auto"/>
      </w:pPr>
      <w:r>
        <w:rPr>
          <w:rFonts w:ascii="Times New Roman" w:hAnsi="Times New Roman"/>
          <w:b w:val="0"/>
          <w:i w:val="0"/>
          <w:sz w:val="24"/>
        </w:rPr>
        <w:t>Finally, this review was not pre-registered in PROSPERO. As a narrative synthesis without a prospective analysis protocol, formal registration was not completed prior to data collection; this is acknowledged as a limitation in line with PRISMA 2020 transparency standards.</w:t>
      </w:r>
    </w:p>
    <w:p>
      <w:pPr>
        <w:pStyle w:val="Heading2"/>
        <w:spacing w:before="200" w:after="40" w:line="360" w:lineRule="auto"/>
      </w:pPr>
      <w:r>
        <w:rPr>
          <w:rFonts w:ascii="Times New Roman" w:hAnsi="Times New Roman"/>
          <w:b/>
          <w:sz w:val="26"/>
        </w:rPr>
        <w:t>4.7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emerging as early as the neonatal period and persisting through middle childhood. Effects concentrated in language and executive control networks—the neural substrates of the behavioral domains most consistently associated with parental education in the developmental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Parental education deserves treatment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Branigan, A. R., McCallum, K. J., &amp; Freese, J. (2013). Variation in the heritability of educational attainment: An international meta-analysis. </w:t>
      </w:r>
      <w:r>
        <w:rPr>
          <w:rFonts w:ascii="Times New Roman" w:hAnsi="Times New Roman"/>
          <w:b w:val="0"/>
          <w:i/>
          <w:sz w:val="24"/>
        </w:rPr>
        <w:t>Social Forces</w:t>
      </w:r>
      <w:r>
        <w:rPr>
          <w:rFonts w:ascii="Times New Roman" w:hAnsi="Times New Roman"/>
          <w:b w:val="0"/>
          <w:i w:val="0"/>
          <w:sz w:val="24"/>
        </w:rPr>
        <w:t xml:space="preserve">, </w:t>
      </w:r>
      <w:r>
        <w:rPr>
          <w:rFonts w:ascii="Times New Roman" w:hAnsi="Times New Roman"/>
          <w:b w:val="0"/>
          <w:i/>
          <w:sz w:val="24"/>
        </w:rPr>
        <w:t>92</w:t>
      </w:r>
      <w:r>
        <w:rPr>
          <w:rFonts w:ascii="Times New Roman" w:hAnsi="Times New Roman"/>
          <w:b w:val="0"/>
          <w:i w:val="0"/>
          <w:sz w:val="24"/>
        </w:rPr>
        <w:t>(1), 109–140. https://doi.org/10.1093/sf/sot076</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 https://doi.org/10.1002/wcs.1185</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 https://doi.org/10.1038/nrn2844</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 Publishing Co.</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 https://doi.org/10.1037/a0030612</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 https://doi.org/10.1523/JNEUROSCI.3479-08.2008</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 https://doi.org/10.1111/j.1749-6632.2009.05437.x</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 https://doi.org/10.1038/nn.3983</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Shonkoff, J. P., Garner, A. S., The Committee on Psychosocial Aspects of Child and Family Health, The Committee on Early Childhood, Adoption, and Dependent Care, &amp; The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 https://doi.org/10.1007/s11065-010-9148-4</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 https://doi.org/10.1097/YCO.0b013e3283387d9f</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