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jc w:val="center"/>
        <w:spacing w:before="120" w:after="40" w:line="360" w:lineRule="auto"/>
      </w:pPr>
      <w:r>
        <w:rPr>
          <w:rFonts w:ascii="Times New Roman" w:hAnsi="Times New Roman"/>
          <w:b/>
          <w:i w:val="0"/>
          <w:sz w:val="24"/>
        </w:rPr>
        <w:t>Authors:</w:t>
      </w:r>
      <w:r>
        <w:rPr>
          <w:rFonts w:ascii="Times New Roman" w:hAnsi="Times New Roman"/>
          <w:b w:val="0"/>
          <w:i w:val="0"/>
          <w:sz w:val="24"/>
        </w:rPr>
        <w:t xml:space="preserve"> [Author 1 Name]¹, [Author 2 Name]²</w:t>
      </w:r>
      <w:r>
        <w:rPr>
          <w:rFonts w:ascii="Times New Roman" w:hAnsi="Times New Roman"/>
          <w:b w:val="0"/>
          <w:i w:val="0"/>
          <w:sz w:val="24"/>
        </w:rPr>
        <w:t>, [Author 3 Name]¹</w:t>
      </w:r>
    </w:p>
    <w:p>
      <w:pPr>
        <w:jc w:val="center"/>
        <w:spacing w:before="80" w:after="0" w:line="288" w:lineRule="auto"/>
      </w:pPr>
      <w:r>
        <w:rPr>
          <w:rFonts w:ascii="Times New Roman" w:hAnsi="Times New Roman"/>
          <w:b/>
          <w:i w:val="0"/>
          <w:sz w:val="24"/>
        </w:rPr>
        <w:t>Affiliations:</w:t>
      </w:r>
    </w:p>
    <w:p>
      <w:pPr>
        <w:jc w:val="center"/>
        <w:spacing w:before="0" w:after="0" w:line="288" w:lineRule="auto"/>
      </w:pPr>
      <w:r>
        <w:rPr>
          <w:rFonts w:ascii="Times New Roman" w:hAnsi="Times New Roman"/>
          <w:b w:val="0"/>
          <w:i w:val="0"/>
          <w:sz w:val="24"/>
        </w:rPr>
        <w:t>¹ [Department, Institution, City, Country]</w:t>
      </w:r>
    </w:p>
    <w:p>
      <w:pPr>
        <w:jc w:val="center"/>
        <w:spacing w:before="0" w:after="0" w:line="288" w:lineRule="auto"/>
      </w:pPr>
      <w:r>
        <w:rPr>
          <w:rFonts w:ascii="Times New Roman" w:hAnsi="Times New Roman"/>
          <w:b w:val="0"/>
          <w:i w:val="0"/>
          <w:sz w:val="24"/>
        </w:rPr>
        <w:t>² [Department, Institution, City, Country]</w:t>
      </w:r>
    </w:p>
    <w:p>
      <w:pPr>
        <w:jc w:val="center"/>
        <w:spacing w:before="120" w:after="240" w:line="360" w:lineRule="auto"/>
      </w:pPr>
      <w:r>
        <w:rPr>
          <w:rFonts w:ascii="Times New Roman" w:hAnsi="Times New Roman"/>
          <w:b/>
          <w:i w:val="0"/>
          <w:sz w:val="24"/>
        </w:rPr>
        <w:t>Corresponding author:</w:t>
      </w:r>
      <w:r>
        <w:rPr>
          <w:rFonts w:ascii="Times New Roman" w:hAnsi="Times New Roman"/>
          <w:b w:val="0"/>
          <w:i w:val="0"/>
          <w:sz w:val="24"/>
        </w:rPr>
        <w:t xml:space="preserve"> [Author Name], [Department, Institution, Address]. Email: [email@institution.edu]</w:t>
      </w:r>
    </w:p>
    <w:p>
      <w:pPr>
        <w:jc w:val="left"/>
        <w:spacing w:before="0" w:after="120" w:line="480" w:lineRule="auto"/>
      </w:pPr>
      <w:r>
        <w:rPr>
          <w:rFonts w:ascii="Times New Roman" w:hAnsi="Times New Roman"/>
          <w:b/>
          <w:i w:val="0"/>
          <w:sz w:val="24"/>
        </w:rPr>
        <w:t>Target journal</w:t>
      </w:r>
      <w:r>
        <w:rPr>
          <w:rFonts w:ascii="Times New Roman" w:hAnsi="Times New Roman"/>
          <w:b w:val="0"/>
          <w:i w:val="0"/>
          <w:sz w:val="24"/>
        </w:rPr>
        <w:t>: Developmental Cognitive Neuroscience (Q1, IF ≈ 4.5)</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young children (target age 0–8 years; studies extending modestly beyond this window were eligible if early childhood was the primary analytical focus).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9 countries or regions)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the neonatal period through middle childhood, with effects concentrated in language and executive control networks. Three neonatal studies implicate prenatal mechanisms as a necessary component of the association. Indirect evidence from full-range samples favours a gradient over a pure deprivation threshold, though no included study directly tested non-linearity. These findings call for prenatal studies with biological pathway measurement, pre-registered full-range SES designs, and research in non-Western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9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9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notably, in the larger sample, the education–FA association in this tract persisted after controlling for income (Ozernov-Palchik et al., 2019),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9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lnNumType w:countBy="1" w:restart="newPag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