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360" w:lineRule="auto"/>
      </w:pPr>
      <w:r>
        <w:rPr>
          <w:rFonts w:ascii="Times New Roman" w:hAnsi="Times New Roman"/>
          <w:b/>
          <w:sz w:val="28"/>
        </w:rPr>
        <w:t>Parental education level and early childhood neural development: a systematic review of EEG, ERP, fNIRS, and neuroimaging evidence (ages 0–8 years)</w:t>
      </w:r>
    </w:p>
    <w:p>
      <w:pPr>
        <w:pStyle w:val="Heading1"/>
        <w:spacing w:before="240" w:after="60" w:line="360" w:lineRule="auto"/>
      </w:pPr>
      <w:r>
        <w:rPr>
          <w:rFonts w:ascii="Times New Roman" w:hAnsi="Times New Roman"/>
          <w:b/>
          <w:sz w:val="28"/>
        </w:rPr>
        <w:t>Abstract</w:t>
      </w:r>
    </w:p>
    <w:p>
      <w:pPr>
        <w:jc w:val="left"/>
        <w:spacing w:before="0" w:after="120" w:line="480" w:lineRule="auto"/>
      </w:pPr>
      <w:r>
        <w:rPr>
          <w:rFonts w:ascii="Times New Roman" w:hAnsi="Times New Roman"/>
          <w:b/>
          <w:i w:val="0"/>
          <w:sz w:val="24"/>
        </w:rPr>
        <w:t xml:space="preserve">Background: </w:t>
      </w:r>
      <w:r>
        <w:rPr>
          <w:rFonts w:ascii="Times New Roman" w:hAnsi="Times New Roman"/>
          <w:b w:val="0"/>
          <w:i w:val="0"/>
          <w:sz w:val="24"/>
        </w:rPr>
        <w:t>Parental education level is a reliable predictor of children's cognitive outcomes, yet its neural correlates in early childhood have not been synthesised across measurement modalities.</w:t>
      </w:r>
    </w:p>
    <w:p>
      <w:pPr>
        <w:jc w:val="left"/>
        <w:spacing w:before="0" w:after="120" w:line="480" w:lineRule="auto"/>
      </w:pPr>
      <w:r>
        <w:rPr>
          <w:rFonts w:ascii="Times New Roman" w:hAnsi="Times New Roman"/>
          <w:b/>
          <w:i w:val="0"/>
          <w:sz w:val="24"/>
        </w:rPr>
        <w:t xml:space="preserve">Objective: </w:t>
      </w:r>
      <w:r>
        <w:rPr>
          <w:rFonts w:ascii="Times New Roman" w:hAnsi="Times New Roman"/>
          <w:b w:val="0"/>
          <w:i w:val="0"/>
          <w:sz w:val="24"/>
        </w:rPr>
        <w:t>To systematically review associations between parental education and neural development in children aged 0–8 years, examining under what conditions effects are detectable, from what developmental point they emerge, and through what mechanisms they operate.</w:t>
      </w:r>
    </w:p>
    <w:p>
      <w:pPr>
        <w:jc w:val="left"/>
        <w:spacing w:before="0" w:after="120" w:line="480" w:lineRule="auto"/>
      </w:pPr>
      <w:r>
        <w:rPr>
          <w:rFonts w:ascii="Times New Roman" w:hAnsi="Times New Roman"/>
          <w:b/>
          <w:i w:val="0"/>
          <w:sz w:val="24"/>
        </w:rPr>
        <w:t xml:space="preserve">Methods: </w:t>
      </w:r>
      <w:r>
        <w:rPr>
          <w:rFonts w:ascii="Times New Roman" w:hAnsi="Times New Roman"/>
          <w:b w:val="0"/>
          <w:i w:val="0"/>
          <w:sz w:val="24"/>
        </w:rPr>
        <w:t>We searched PubMed/MEDLINE, PsycINFO, Web of Science, and Scopus (inception to April 2026) following PRISMA 2020 guidelines. Studies were included if parental education had an independently estimable association with a direct neural outcome in children aged 0–8 years. Quality was assessed using the Newcastle–Ottawa Scale.</w:t>
      </w:r>
    </w:p>
    <w:p>
      <w:pPr>
        <w:jc w:val="left"/>
        <w:spacing w:before="0" w:after="120" w:line="480" w:lineRule="auto"/>
      </w:pPr>
      <w:r>
        <w:rPr>
          <w:rFonts w:ascii="Times New Roman" w:hAnsi="Times New Roman"/>
          <w:b/>
          <w:i w:val="0"/>
          <w:sz w:val="24"/>
        </w:rPr>
        <w:t xml:space="preserve">Results: </w:t>
      </w:r>
      <w:r>
        <w:rPr>
          <w:rFonts w:ascii="Times New Roman" w:hAnsi="Times New Roman"/>
          <w:b w:val="0"/>
          <w:i w:val="0"/>
          <w:sz w:val="24"/>
        </w:rPr>
        <w:t>Sixteen studies (</w:t>
      </w:r>
      <w:r>
        <w:rPr>
          <w:rFonts w:ascii="Times New Roman" w:hAnsi="Times New Roman"/>
          <w:b w:val="0"/>
          <w:i/>
          <w:sz w:val="24"/>
        </w:rPr>
        <w:t>N</w:t>
      </w:r>
      <w:r>
        <w:rPr>
          <w:rFonts w:ascii="Times New Roman" w:hAnsi="Times New Roman"/>
          <w:b w:val="0"/>
          <w:i w:val="0"/>
          <w:sz w:val="24"/>
        </w:rPr>
        <w:t xml:space="preserve"> = 26–373; 10 countries) met inclusion criteria. Across six modalities, 15 of 16 (94%) reported a positive association between higher parental education and more mature neural indices; three neonatal studies indicated associations detectable before substantial postnatal experience had accrued. One study reported a negative pattern attributable to migration-related linguistic heterogeneity.</w:t>
      </w:r>
    </w:p>
    <w:p>
      <w:pPr>
        <w:jc w:val="left"/>
        <w:spacing w:before="0" w:after="120" w:line="480" w:lineRule="auto"/>
      </w:pPr>
      <w:r>
        <w:rPr>
          <w:rFonts w:ascii="Times New Roman" w:hAnsi="Times New Roman"/>
          <w:b/>
          <w:i w:val="0"/>
          <w:sz w:val="24"/>
        </w:rPr>
        <w:t xml:space="preserve">Conclusions: </w:t>
      </w:r>
      <w:r>
        <w:rPr>
          <w:rFonts w:ascii="Times New Roman" w:hAnsi="Times New Roman"/>
          <w:b w:val="0"/>
          <w:i w:val="0"/>
          <w:sz w:val="24"/>
        </w:rPr>
        <w:t>Higher parental education is associated with more advanced neural development from birth through middle childhood, with effects concentrated in language and executive control networks rather than distributed uniformly across the brain. Three neonatal studies—including one scanning full-term infants within four days of birth—indicate that prenatal mechanisms are a necessary component of the association. Effects were consistent across 15 of 16 mainstream-culture samples; the single exception (a migrant-majority sample) points to cultural and linguistic context as an important moderator requiring further investigation. Whether the association follows a full-range gradient or a deprivation threshold—the central debate in this literature since Noble et al. (2015)—cannot be definitively resolved, as no included study directly tested for non-linear effects. However, indirect evidence from full-range continuous samples (Brito &amp; Noble, 2020; Ozernov-Palchik et al., 2019) is more consistent with a gradient than a pure deprivation threshold account. These findings call for neonatal studies with direct biological pathway measurement, pre-registered designs with full-range SES sampling, and studies in non-Western and migrant populations.</w:t>
      </w:r>
    </w:p>
    <w:p>
      <w:pPr>
        <w:jc w:val="left"/>
        <w:spacing w:before="0" w:after="120" w:line="480" w:lineRule="auto"/>
      </w:pPr>
      <w:r>
        <w:rPr>
          <w:rFonts w:ascii="Times New Roman" w:hAnsi="Times New Roman"/>
          <w:b/>
          <w:i w:val="0"/>
          <w:sz w:val="24"/>
        </w:rPr>
        <w:t xml:space="preserve">Keywords: </w:t>
      </w:r>
      <w:r>
        <w:rPr>
          <w:rFonts w:ascii="Times New Roman" w:hAnsi="Times New Roman"/>
          <w:b w:val="0"/>
          <w:i w:val="0"/>
          <w:sz w:val="24"/>
        </w:rPr>
        <w:t>parental education; socioeconomic status; neural development; EEG; ERP; fNIRS; fMRI; DTI; systematic review; early childhood</w:t>
      </w:r>
    </w:p>
    <w:p>
      <w:r>
        <w:br w:type="page"/>
      </w:r>
    </w:p>
    <w:p>
      <w:r>
        <w:br w:type="page"/>
      </w:r>
    </w:p>
    <w:p>
      <w:pPr>
        <w:pStyle w:val="Heading1"/>
        <w:spacing w:before="240" w:after="60" w:line="360" w:lineRule="auto"/>
      </w:pPr>
      <w:r>
        <w:rPr>
          <w:rFonts w:ascii="Times New Roman" w:hAnsi="Times New Roman"/>
          <w:b/>
          <w:sz w:val="28"/>
        </w:rPr>
        <w:t>1. Introduction</w:t>
      </w:r>
    </w:p>
    <w:p>
      <w:pPr>
        <w:pStyle w:val="Heading2"/>
        <w:spacing w:before="200" w:after="40" w:line="360" w:lineRule="auto"/>
      </w:pPr>
      <w:r>
        <w:rPr>
          <w:rFonts w:ascii="Times New Roman" w:hAnsi="Times New Roman"/>
          <w:b/>
          <w:sz w:val="26"/>
        </w:rPr>
        <w:t>1.1 Parental education level as a marker of early childhood environment</w:t>
      </w:r>
    </w:p>
    <w:p>
      <w:pPr>
        <w:jc w:val="left"/>
        <w:spacing w:before="0" w:after="120" w:line="480" w:lineRule="auto"/>
      </w:pPr>
      <w:r>
        <w:rPr>
          <w:rFonts w:ascii="Times New Roman" w:hAnsi="Times New Roman"/>
          <w:b w:val="0"/>
          <w:i w:val="0"/>
          <w:sz w:val="24"/>
        </w:rPr>
        <w:t>Socioeconomic status (SES) is a multidimensional construct encompassing income, occupational prestige, and educational attainment. Of its components, parental education level offers particular advantages for research: it is measured with relatively low error, remains stable across a child's early years, and reflects accumulated cognitive and cultural resources that bear on the quality of the home learning environment (Bradley &amp; Corwyn, 2002; Davis-Kean, 2005; Hackman &amp; Farah, 2009). Population-based studies consistently show that children of more educated parents perform better on vocabulary, executive function, and academic achievement assessments (Diamond, 2013; Duncan &amp; Magnuson, 2012; Hoff, 2013).</w:t>
      </w:r>
    </w:p>
    <w:p>
      <w:pPr>
        <w:jc w:val="left"/>
        <w:spacing w:before="0" w:after="120" w:line="480" w:lineRule="auto"/>
      </w:pPr>
      <w:r>
        <w:rPr>
          <w:rFonts w:ascii="Times New Roman" w:hAnsi="Times New Roman"/>
          <w:b w:val="0"/>
          <w:i w:val="0"/>
          <w:sz w:val="24"/>
        </w:rPr>
        <w:t xml:space="preserve">Yet behavioral outcomes are the downstream products of neural development. To understand </w:t>
      </w:r>
      <w:r>
        <w:rPr>
          <w:rFonts w:ascii="Times New Roman" w:hAnsi="Times New Roman"/>
          <w:b w:val="0"/>
          <w:i/>
          <w:sz w:val="24"/>
        </w:rPr>
        <w:t>how</w:t>
      </w:r>
      <w:r>
        <w:rPr>
          <w:rFonts w:ascii="Times New Roman" w:hAnsi="Times New Roman"/>
          <w:b w:val="0"/>
          <w:i w:val="0"/>
          <w:sz w:val="24"/>
        </w:rPr>
        <w:t xml:space="preserve"> educational advantages are transmitted across generations, it is necessary to examine their biological substrates—the brain systems that underlie cognitive and language capacities emerging in the first years of life.</w:t>
      </w:r>
    </w:p>
    <w:p>
      <w:pPr>
        <w:pStyle w:val="Heading2"/>
        <w:spacing w:before="200" w:after="40" w:line="360" w:lineRule="auto"/>
      </w:pPr>
      <w:r>
        <w:rPr>
          <w:rFonts w:ascii="Times New Roman" w:hAnsi="Times New Roman"/>
          <w:b/>
          <w:sz w:val="26"/>
        </w:rPr>
        <w:t>1.2 The 0–8 year window: neural plasticity and SES sensitivity</w:t>
      </w:r>
    </w:p>
    <w:p>
      <w:pPr>
        <w:jc w:val="left"/>
        <w:spacing w:before="0" w:after="120" w:line="480" w:lineRule="auto"/>
      </w:pPr>
      <w:r>
        <w:rPr>
          <w:rFonts w:ascii="Times New Roman" w:hAnsi="Times New Roman"/>
          <w:b w:val="0"/>
          <w:i w:val="0"/>
          <w:sz w:val="24"/>
        </w:rPr>
        <w:t>The period from birth to age 8 represents an interval of extraordinary neural plasticity. Synaptic density peaks in prefrontal cortex by approximately 3 years of age (Huttenlocher &amp; Dabholkar, 1997); myelination of long-range white matter tracts accelerates from birth through middle childhood (Paus et al., 1999); and cortical surface area expands rapidly in the first postnatal years before reaching near-adult values (Knickmeyer et al., 2008; Stiles &amp; Jernigan, 2010). These processes are experience-dependent: environmental enrichment supports pruning and myelination, while chronic adversity—operating via stress physiology—can alter their trajectory (McEwen &amp; Gianaros, 2010; Shonkoff et al., 2012).</w:t>
      </w:r>
    </w:p>
    <w:p>
      <w:pPr>
        <w:jc w:val="left"/>
        <w:spacing w:before="0" w:after="120" w:line="480" w:lineRule="auto"/>
      </w:pPr>
      <w:r>
        <w:rPr>
          <w:rFonts w:ascii="Times New Roman" w:hAnsi="Times New Roman"/>
          <w:b w:val="0"/>
          <w:i w:val="0"/>
          <w:sz w:val="24"/>
        </w:rPr>
        <w:t>The socioeconomic gradient in brain structure and function has been documented in school-age and adolescent samples (Hair et al., 2015; Noble et al., 2015; Hackman et al., 2010). Establishing when parental education begins to leave a detectable mark on neural outcomes matters for understanding sensitive periods and for identifying effective intervention targets. Studies in neonates and infants—where confounding by the child's own educational experiences is minimal—offer a particularly clean window onto prenatal and earliest postnatal environmental influences.</w:t>
      </w:r>
    </w:p>
    <w:p>
      <w:pPr>
        <w:pStyle w:val="Heading2"/>
        <w:spacing w:before="200" w:after="40" w:line="360" w:lineRule="auto"/>
      </w:pPr>
      <w:r>
        <w:rPr>
          <w:rFonts w:ascii="Times New Roman" w:hAnsi="Times New Roman"/>
          <w:b/>
          <w:sz w:val="26"/>
        </w:rPr>
        <w:t>1.3 Existing literature and gaps</w:t>
      </w:r>
    </w:p>
    <w:p>
      <w:pPr>
        <w:jc w:val="left"/>
        <w:spacing w:before="0" w:after="120" w:line="480" w:lineRule="auto"/>
      </w:pPr>
      <w:r>
        <w:rPr>
          <w:rFonts w:ascii="Times New Roman" w:hAnsi="Times New Roman"/>
          <w:b w:val="0"/>
          <w:i w:val="0"/>
          <w:sz w:val="24"/>
        </w:rPr>
        <w:t>Prior narrative reviews have described links between SES and brain development (Hackman &amp; Farah, 2009; Tomalski &amp; Johnson, 2010), but none has systematically integrated evidence specifically for parental education across multiple neural modalities in the 0–8 year age range. Several gaps are worth noting. First, many studies operationalize SES as a composite index (combining income, education, and occupation), making it difficult to isolate the unique contribution of parental education to neural outcomes. Second, evidence across EEG/ERP, fNIRS, fMRI, and structural/diffusion MRI has accumulated independently, with no cross-modal synthesis. Third, the field lacks a systematic account of how findings vary by child age, neural system, and measurement modality.</w:t>
      </w:r>
    </w:p>
    <w:p>
      <w:pPr>
        <w:jc w:val="left"/>
        <w:spacing w:before="0" w:after="120" w:line="480" w:lineRule="auto"/>
      </w:pPr>
      <w:r>
        <w:rPr>
          <w:rFonts w:ascii="Times New Roman" w:hAnsi="Times New Roman"/>
          <w:b w:val="0"/>
          <w:i w:val="0"/>
          <w:sz w:val="24"/>
        </w:rPr>
        <w:t xml:space="preserve">A landmark study by Noble et al. (2015) in </w:t>
      </w:r>
      <w:r>
        <w:rPr>
          <w:rFonts w:ascii="Times New Roman" w:hAnsi="Times New Roman"/>
          <w:b w:val="0"/>
          <w:i/>
          <w:sz w:val="24"/>
        </w:rPr>
        <w:t>Nature Neuroscience</w:t>
      </w:r>
      <w:r>
        <w:rPr>
          <w:rFonts w:ascii="Times New Roman" w:hAnsi="Times New Roman"/>
          <w:b w:val="0"/>
          <w:i w:val="0"/>
          <w:sz w:val="24"/>
        </w:rPr>
        <w:t xml:space="preserve"> further sharpened the theoretical stakes: reporting that the association between family income and cortical surface area in children and adolescents was markedly non-linear, with the steepest gradient concentrated at the lower end of the income distribution. This deprivation threshold pattern has since become a central point of debate—is the SES–brain association a full-range linear gradient present at every increment of the distribution, or is it concentrated among the most disadvantaged families? This question has not been addressed for parental education specifically in the 0–8 year age range, where the relevant neural indices (EEG power, white matter microstructure, cortical morphometry) differ substantially from those used in Noble et al.'s school-age and adolescent sample.</w:t>
      </w:r>
    </w:p>
    <w:p>
      <w:pPr>
        <w:jc w:val="left"/>
        <w:spacing w:before="0" w:after="120" w:line="480" w:lineRule="auto"/>
      </w:pPr>
      <w:r>
        <w:rPr>
          <w:rFonts w:ascii="Times New Roman" w:hAnsi="Times New Roman"/>
          <w:b w:val="0"/>
          <w:i w:val="0"/>
          <w:sz w:val="24"/>
        </w:rPr>
        <w:t xml:space="preserve">The present review addresses these issues with three questions that go beyond asking </w:t>
      </w:r>
      <w:r>
        <w:rPr>
          <w:rFonts w:ascii="Times New Roman" w:hAnsi="Times New Roman"/>
          <w:b w:val="0"/>
          <w:i/>
          <w:sz w:val="24"/>
        </w:rPr>
        <w:t>whether</w:t>
      </w:r>
      <w:r>
        <w:rPr>
          <w:rFonts w:ascii="Times New Roman" w:hAnsi="Times New Roman"/>
          <w:b w:val="0"/>
          <w:i w:val="0"/>
          <w:sz w:val="24"/>
        </w:rPr>
        <w:t xml:space="preserve"> parental education is associated with neural development: (1) </w:t>
      </w:r>
      <w:r>
        <w:rPr>
          <w:rFonts w:ascii="Times New Roman" w:hAnsi="Times New Roman"/>
          <w:b w:val="0"/>
          <w:i/>
          <w:sz w:val="24"/>
        </w:rPr>
        <w:t>Under what conditions</w:t>
      </w:r>
      <w:r>
        <w:rPr>
          <w:rFonts w:ascii="Times New Roman" w:hAnsi="Times New Roman"/>
          <w:b w:val="0"/>
          <w:i w:val="0"/>
          <w:sz w:val="24"/>
        </w:rPr>
        <w:t xml:space="preserve"> are associations detectable—which neural systems, which developmental windows, and which cultural contexts show the most consistent effects? (2) </w:t>
      </w:r>
      <w:r>
        <w:rPr>
          <w:rFonts w:ascii="Times New Roman" w:hAnsi="Times New Roman"/>
          <w:b w:val="0"/>
          <w:i/>
          <w:sz w:val="24"/>
        </w:rPr>
        <w:t>Through what mechanisms and from what point in development</w:t>
      </w:r>
      <w:r>
        <w:rPr>
          <w:rFonts w:ascii="Times New Roman" w:hAnsi="Times New Roman"/>
          <w:b w:val="0"/>
          <w:i w:val="0"/>
          <w:sz w:val="24"/>
        </w:rPr>
        <w:t xml:space="preserve"> do associations emerge—and what do neonatal findings imply about prenatal versus postnatal pathways? (3) </w:t>
      </w:r>
      <w:r>
        <w:rPr>
          <w:rFonts w:ascii="Times New Roman" w:hAnsi="Times New Roman"/>
          <w:b w:val="0"/>
          <w:i/>
          <w:sz w:val="24"/>
        </w:rPr>
        <w:t>What does the current evidence base leave unresolved</w:t>
      </w:r>
      <w:r>
        <w:rPr>
          <w:rFonts w:ascii="Times New Roman" w:hAnsi="Times New Roman"/>
          <w:b w:val="0"/>
          <w:i w:val="0"/>
          <w:sz w:val="24"/>
        </w:rPr>
        <w:t>—particularly regarding the gradient versus deprivation threshold debate—and what does this imply for future research design?</w:t>
      </w:r>
    </w:p>
    <w:p>
      <w:r>
        <w:br w:type="page"/>
      </w:r>
    </w:p>
    <w:p>
      <w:pPr>
        <w:pStyle w:val="Heading1"/>
        <w:spacing w:before="240" w:after="60" w:line="360" w:lineRule="auto"/>
      </w:pPr>
      <w:r>
        <w:rPr>
          <w:rFonts w:ascii="Times New Roman" w:hAnsi="Times New Roman"/>
          <w:b/>
          <w:sz w:val="28"/>
        </w:rPr>
        <w:t>2. Methods</w:t>
      </w:r>
    </w:p>
    <w:p>
      <w:pPr>
        <w:pStyle w:val="Heading2"/>
        <w:spacing w:before="200" w:after="40" w:line="360" w:lineRule="auto"/>
      </w:pPr>
      <w:r>
        <w:rPr>
          <w:rFonts w:ascii="Times New Roman" w:hAnsi="Times New Roman"/>
          <w:b/>
          <w:sz w:val="26"/>
        </w:rPr>
        <w:t>2.1 Protocol and registration</w:t>
      </w:r>
    </w:p>
    <w:p>
      <w:pPr>
        <w:jc w:val="left"/>
        <w:spacing w:before="0" w:after="120" w:line="480" w:lineRule="auto"/>
      </w:pPr>
      <w:r>
        <w:rPr>
          <w:rFonts w:ascii="Times New Roman" w:hAnsi="Times New Roman"/>
          <w:b w:val="0"/>
          <w:i w:val="0"/>
          <w:sz w:val="24"/>
        </w:rPr>
        <w:t>This systematic review was conducted following PRISMA 2020 guidelines (Page et al., 2021). We did not pre-register this review in PROSPERO because the descriptive narrative synthesis design does not lend itself to a prospective protocol, and no formal registration was completed prior to data collection.</w:t>
      </w:r>
    </w:p>
    <w:p>
      <w:pPr>
        <w:pStyle w:val="Heading2"/>
        <w:spacing w:before="200" w:after="40" w:line="360" w:lineRule="auto"/>
      </w:pPr>
      <w:r>
        <w:rPr>
          <w:rFonts w:ascii="Times New Roman" w:hAnsi="Times New Roman"/>
          <w:b/>
          <w:sz w:val="26"/>
        </w:rPr>
        <w:t>2.2 Eligibility criteria</w:t>
      </w:r>
    </w:p>
    <w:p>
      <w:pPr>
        <w:jc w:val="left"/>
        <w:spacing w:before="0" w:after="120" w:line="480" w:lineRule="auto"/>
      </w:pPr>
      <w:r>
        <w:rPr>
          <w:rFonts w:ascii="Times New Roman" w:hAnsi="Times New Roman"/>
          <w:b w:val="0"/>
          <w:i w:val="0"/>
          <w:sz w:val="24"/>
        </w:rPr>
        <w:t>Studies were eligible if they met all of the following criteria:</w:t>
      </w:r>
    </w:p>
    <w:p>
      <w:pPr>
        <w:jc w:val="left"/>
        <w:spacing w:before="0" w:after="120" w:line="480" w:lineRule="auto"/>
      </w:pPr>
      <w:r>
        <w:rPr>
          <w:rFonts w:ascii="Times New Roman" w:hAnsi="Times New Roman"/>
          <w:b/>
          <w:i w:val="0"/>
          <w:sz w:val="24"/>
        </w:rPr>
        <w:t>Population (P):</w:t>
      </w:r>
      <w:r>
        <w:rPr>
          <w:rFonts w:ascii="Times New Roman" w:hAnsi="Times New Roman"/>
          <w:b w:val="0"/>
          <w:i w:val="0"/>
          <w:sz w:val="24"/>
        </w:rPr>
        <w:t xml:space="preserve"> Children aged 0–8 years at the time of neural measurement (studies with mixed age ranges were included if the primary analysis focused on this age window or if child-specific subgroup data were available).</w:t>
      </w:r>
    </w:p>
    <w:p>
      <w:pPr>
        <w:jc w:val="left"/>
        <w:spacing w:before="0" w:after="120" w:line="480" w:lineRule="auto"/>
      </w:pPr>
      <w:r>
        <w:rPr>
          <w:rFonts w:ascii="Times New Roman" w:hAnsi="Times New Roman"/>
          <w:b/>
          <w:i w:val="0"/>
          <w:sz w:val="24"/>
        </w:rPr>
        <w:t>Exposure/Indicator (I/E):</w:t>
      </w:r>
      <w:r>
        <w:rPr>
          <w:rFonts w:ascii="Times New Roman" w:hAnsi="Times New Roman"/>
          <w:b w:val="0"/>
          <w:i w:val="0"/>
          <w:sz w:val="24"/>
        </w:rPr>
        <w:t xml:space="preserve"> Parental education level operationalized as an independently estimable variable—either as the sole SES indicator, or as a component of a composite SES measure with a separately reported regression coefficient (β or </w:t>
      </w:r>
      <w:r>
        <w:rPr>
          <w:rFonts w:ascii="Times New Roman" w:hAnsi="Times New Roman"/>
          <w:b w:val="0"/>
          <w:i/>
          <w:sz w:val="24"/>
        </w:rPr>
        <w:t>b</w:t>
      </w:r>
      <w:r>
        <w:rPr>
          <w:rFonts w:ascii="Times New Roman" w:hAnsi="Times New Roman"/>
          <w:b w:val="0"/>
          <w:i w:val="0"/>
          <w:sz w:val="24"/>
        </w:rPr>
        <w:t>) and associated significance level. Studies in which education was subsumed into a composite factor without a separable coefficient, or served only as a covariate without a reported independent association, were excluded.</w:t>
      </w:r>
    </w:p>
    <w:p>
      <w:pPr>
        <w:jc w:val="left"/>
        <w:spacing w:before="0" w:after="120" w:line="480" w:lineRule="auto"/>
      </w:pPr>
      <w:r>
        <w:rPr>
          <w:rFonts w:ascii="Times New Roman" w:hAnsi="Times New Roman"/>
          <w:b/>
          <w:i w:val="0"/>
          <w:sz w:val="24"/>
        </w:rPr>
        <w:t>Outcome (O):</w:t>
      </w:r>
      <w:r>
        <w:rPr>
          <w:rFonts w:ascii="Times New Roman" w:hAnsi="Times New Roman"/>
          <w:b w:val="0"/>
          <w:i w:val="0"/>
          <w:sz w:val="24"/>
        </w:rPr>
        <w:t xml:space="preserve"> At least one direct neural measure, including but not limited to: resting-state EEG power or connectivity; event-related potentials (ERPs); functional near-infrared spectroscopy (fNIRS) activation; functional MRI (fMRI) activation or connectivity; diffusion tensor imaging (DTI) metrics (fractional anisotropy, mean diffusivity); or structural MRI measures (cortical surface area, cortical thickness, gray matter volume). Electroencephalographic studies measuring only cognitive or behavioral outcomes (e.g., verbal IQ) without a direct neural index were excluded unless neuroimaging was also included.</w:t>
      </w:r>
    </w:p>
    <w:p>
      <w:pPr>
        <w:jc w:val="left"/>
        <w:spacing w:before="0" w:after="120" w:line="480" w:lineRule="auto"/>
      </w:pPr>
      <w:r>
        <w:rPr>
          <w:rFonts w:ascii="Times New Roman" w:hAnsi="Times New Roman"/>
          <w:b/>
          <w:i w:val="0"/>
          <w:sz w:val="24"/>
        </w:rPr>
        <w:t>Study design (S):</w:t>
      </w:r>
      <w:r>
        <w:rPr>
          <w:rFonts w:ascii="Times New Roman" w:hAnsi="Times New Roman"/>
          <w:b w:val="0"/>
          <w:i w:val="0"/>
          <w:sz w:val="24"/>
        </w:rPr>
        <w:t xml:space="preserve"> Cross-sectional observational studies, longitudinal observational studies, and randomized controlled trials (provided neural outcomes were analyzed as a function of parental education, not experimental assignment). Systematic reviews, meta-analyses, narrative reviews, editorials, letters, and conference abstracts were excluded.</w:t>
      </w:r>
    </w:p>
    <w:p>
      <w:pPr>
        <w:jc w:val="left"/>
        <w:spacing w:before="0" w:after="120" w:line="480" w:lineRule="auto"/>
      </w:pPr>
      <w:r>
        <w:rPr>
          <w:rFonts w:ascii="Times New Roman" w:hAnsi="Times New Roman"/>
          <w:b/>
          <w:i w:val="0"/>
          <w:sz w:val="24"/>
        </w:rPr>
        <w:t>Language:</w:t>
      </w:r>
      <w:r>
        <w:rPr>
          <w:rFonts w:ascii="Times New Roman" w:hAnsi="Times New Roman"/>
          <w:b w:val="0"/>
          <w:i w:val="0"/>
          <w:sz w:val="24"/>
        </w:rPr>
        <w:t xml:space="preserve"> English only.</w:t>
      </w:r>
    </w:p>
    <w:p>
      <w:pPr>
        <w:pStyle w:val="Heading2"/>
        <w:spacing w:before="200" w:after="40" w:line="360" w:lineRule="auto"/>
      </w:pPr>
      <w:r>
        <w:rPr>
          <w:rFonts w:ascii="Times New Roman" w:hAnsi="Times New Roman"/>
          <w:b/>
          <w:sz w:val="26"/>
        </w:rPr>
        <w:t>2.3 Search strategy</w:t>
      </w:r>
    </w:p>
    <w:p>
      <w:pPr>
        <w:jc w:val="left"/>
        <w:spacing w:before="0" w:after="120" w:line="480" w:lineRule="auto"/>
      </w:pPr>
      <w:r>
        <w:rPr>
          <w:rFonts w:ascii="Times New Roman" w:hAnsi="Times New Roman"/>
          <w:b w:val="0"/>
          <w:i w:val="0"/>
          <w:sz w:val="24"/>
        </w:rPr>
        <w:t>We conducted systematic searches in four electronic databases: PubMed/MEDLINE, PsycINFO (via EBSCOhost), Web of Science Core Collection, and Scopus. Searches were conducted in April 2026. No publication date restriction was applied. The Cochrane Library was not searched because this review focuses on observational studies, which are not systematically indexed in Cochrane.</w:t>
      </w:r>
    </w:p>
    <w:p>
      <w:pPr>
        <w:jc w:val="left"/>
        <w:spacing w:before="0" w:after="120" w:line="480" w:lineRule="auto"/>
      </w:pPr>
      <w:r>
        <w:rPr>
          <w:rFonts w:ascii="Times New Roman" w:hAnsi="Times New Roman"/>
          <w:b w:val="0"/>
          <w:i w:val="0"/>
          <w:sz w:val="24"/>
        </w:rPr>
        <w:t>The search strategy combined three concept blocks: (1) parental education or socioeconomic status, (2) young children aged 0–8 years, and (3) neural or neuroimaging measures. The PubMed search string integrated title/abstract [tiab] fields with MeSH terms, and was iteratively refined against a set of eight benchmark studies with known eligibility status prior to finalisation. The core PubMed search string was:</w:t>
      </w:r>
    </w:p>
    <w:p>
      <w:pPr>
        <w:ind w:left="720" w:right="720"/>
        <w:spacing w:before="60" w:after="60" w:line="276" w:lineRule="auto"/>
      </w:pPr>
      <w:r>
        <w:rPr>
          <w:rFonts w:ascii="Times New Roman" w:hAnsi="Times New Roman"/>
          <w:b w:val="0"/>
          <w:i/>
          <w:sz w:val="24"/>
        </w:rPr>
        <w:t>("parental education"[tiab] OR "maternal education"[tiab] OR "paternal education"[tiab] OR "educational attainment"[tiab] OR "socioeconomic status"[tiab] OR "socioeconomic background"[tiab] OR "family income"[tiab] OR "household income"[tiab] OR "child poverty"[tiab] OR "social disadvantage"[tiab]) AND ("infant</w:t>
      </w:r>
      <w:r>
        <w:rPr>
          <w:rFonts w:ascii="Times New Roman" w:hAnsi="Times New Roman"/>
          <w:b w:val="0"/>
          <w:i/>
          <w:sz w:val="24"/>
        </w:rPr>
        <w:t>"[tiab] OR "newborn</w:t>
      </w:r>
      <w:r>
        <w:rPr>
          <w:rFonts w:ascii="Times New Roman" w:hAnsi="Times New Roman"/>
          <w:b w:val="0"/>
          <w:i/>
          <w:sz w:val="24"/>
        </w:rPr>
        <w:t>"[tiab] OR "neonatal"[tiab] OR "toddler</w:t>
      </w:r>
      <w:r>
        <w:rPr>
          <w:rFonts w:ascii="Times New Roman" w:hAnsi="Times New Roman"/>
          <w:b w:val="0"/>
          <w:i/>
          <w:sz w:val="24"/>
        </w:rPr>
        <w:t>"[tiab] OR "preschool</w:t>
      </w:r>
      <w:r>
        <w:rPr>
          <w:rFonts w:ascii="Times New Roman" w:hAnsi="Times New Roman"/>
          <w:b w:val="0"/>
          <w:i/>
          <w:sz w:val="24"/>
        </w:rPr>
        <w:t>"[tiab] OR "pre-school</w:t>
      </w:r>
      <w:r>
        <w:rPr>
          <w:rFonts w:ascii="Times New Roman" w:hAnsi="Times New Roman"/>
          <w:b w:val="0"/>
          <w:i/>
          <w:sz w:val="24"/>
        </w:rPr>
        <w:t>"[tiab] OR "young children"[tiab] OR "early childhood"[tiab] OR "kindergarten"[tiab] OR Child[MeSH] OR "Child, Preschool"[MeSH] OR Infant[MeSH]) AND ("EEG"[tiab] OR "electroencephalograph</w:t>
      </w:r>
      <w:r>
        <w:rPr>
          <w:rFonts w:ascii="Times New Roman" w:hAnsi="Times New Roman"/>
          <w:b w:val="0"/>
          <w:i/>
          <w:sz w:val="24"/>
        </w:rPr>
        <w:t>"[tiab] OR "electrophysiolog</w:t>
      </w:r>
      <w:r>
        <w:rPr>
          <w:rFonts w:ascii="Times New Roman" w:hAnsi="Times New Roman"/>
          <w:b w:val="0"/>
          <w:i/>
          <w:sz w:val="24"/>
        </w:rPr>
        <w:t>"[tiab] OR "event-related potential</w:t>
      </w:r>
      <w:r>
        <w:rPr>
          <w:rFonts w:ascii="Times New Roman" w:hAnsi="Times New Roman"/>
          <w:b w:val="0"/>
          <w:i/>
          <w:sz w:val="24"/>
        </w:rPr>
        <w:t>"[tiab] OR "ERP"[tiab] OR "MMN"[tiab] OR "N400"[tiab] OR "P300"[tiab] OR "alpha power"[tiab] OR "theta power"[tiab] OR "resting-state"[tiab] OR "fNIRS"[tiab] OR "fMRI"[tiab] OR "functional MRI"[tiab] OR "functional magnetic resonance"[tiab] OR "DTI"[tiab] OR "diffusion tensor"[tiab] OR "structural MRI"[tiab] OR "cortical thickness"[tiab] OR "gray matter"[tiab] OR "white matter"[tiab] OR "VBM"[tiab] OR "brain function"[tiab] OR "brain activity"[tiab] OR "brain development"[tiab] OR "neural"[tiab] OR "neuroimaging"[tiab])</w:t>
      </w:r>
    </w:p>
    <w:p>
      <w:pPr>
        <w:jc w:val="left"/>
        <w:spacing w:before="0" w:after="120" w:line="480" w:lineRule="auto"/>
      </w:pPr>
      <w:r>
        <w:rPr>
          <w:rFonts w:ascii="Times New Roman" w:hAnsi="Times New Roman"/>
          <w:b w:val="0"/>
          <w:i w:val="0"/>
          <w:sz w:val="24"/>
        </w:rPr>
        <w:t>Search strings for PsycINFO, Web of Science, and Scopus were adapted to each database's controlled vocabulary and field codes. Full database-specific search strings for these three databases are available from the corresponding author upon reasonable request.</w:t>
      </w:r>
    </w:p>
    <w:p>
      <w:pPr>
        <w:pStyle w:val="Heading2"/>
        <w:spacing w:before="200" w:after="40" w:line="360" w:lineRule="auto"/>
      </w:pPr>
      <w:r>
        <w:rPr>
          <w:rFonts w:ascii="Times New Roman" w:hAnsi="Times New Roman"/>
          <w:b/>
          <w:sz w:val="26"/>
        </w:rPr>
        <w:t>2.4 Study selection</w:t>
      </w:r>
    </w:p>
    <w:p>
      <w:pPr>
        <w:jc w:val="left"/>
        <w:spacing w:before="0" w:after="120" w:line="480" w:lineRule="auto"/>
      </w:pPr>
      <w:r>
        <w:rPr>
          <w:rFonts w:ascii="Times New Roman" w:hAnsi="Times New Roman"/>
          <w:b w:val="0"/>
          <w:i w:val="0"/>
          <w:sz w:val="24"/>
        </w:rPr>
        <w:t>Search results from all four databases were combined and deduplicated. Deduplication prioritised exact DOI matching; records without a DOI were matched on title and publication year (first 120 characters of title). This process yielded a deduplicated pool of 1,827 records from 3,097 initial hits (PubMed = 521, PsycINFO = 296, Web of Science = 1,011, Scopus = 1,269).</w:t>
      </w:r>
    </w:p>
    <w:p>
      <w:pPr>
        <w:jc w:val="left"/>
        <w:spacing w:before="0" w:after="120" w:line="480" w:lineRule="auto"/>
      </w:pPr>
      <w:r>
        <w:rPr>
          <w:rFonts w:ascii="Times New Roman" w:hAnsi="Times New Roman"/>
          <w:b w:val="0"/>
          <w:i w:val="0"/>
          <w:sz w:val="24"/>
        </w:rPr>
        <w:t>Title and abstract screening proceeded in two stages:</w:t>
      </w:r>
    </w:p>
    <w:p>
      <w:pPr>
        <w:jc w:val="left"/>
        <w:spacing w:before="0" w:after="120" w:line="480" w:lineRule="auto"/>
      </w:pPr>
      <w:r>
        <w:rPr>
          <w:rFonts w:ascii="Times New Roman" w:hAnsi="Times New Roman"/>
          <w:b/>
          <w:i w:val="0"/>
          <w:sz w:val="24"/>
        </w:rPr>
        <w:t>Stage 1 (Automated pre-screening):</w:t>
      </w:r>
      <w:r>
        <w:rPr>
          <w:rFonts w:ascii="Times New Roman" w:hAnsi="Times New Roman"/>
          <w:b w:val="0"/>
          <w:i w:val="0"/>
          <w:sz w:val="24"/>
        </w:rPr>
        <w:t xml:space="preserve"> A keyword-based algorithm retained records containing terms from all three concept blocks—parental education/SES, child age (0–8 years), and a neural measurement indicator. Records were excluded if they lacked a term from any single block. Neural indicators were applied in two tiers: records containing modality-specific terms (e.g., EEG, fMRI, cortical thickness) were automatically retained; records matching only broad neuroscientific terms (e.g., </w:t>
      </w:r>
      <w:r>
        <w:rPr>
          <w:rFonts w:ascii="Times New Roman" w:hAnsi="Times New Roman"/>
          <w:b w:val="0"/>
          <w:i/>
          <w:sz w:val="24"/>
        </w:rPr>
        <w:t>brain development</w:t>
      </w:r>
      <w:r>
        <w:rPr>
          <w:rFonts w:ascii="Times New Roman" w:hAnsi="Times New Roman"/>
          <w:b w:val="0"/>
          <w:i w:val="0"/>
          <w:sz w:val="24"/>
        </w:rPr>
        <w:t xml:space="preserve">, </w:t>
      </w:r>
      <w:r>
        <w:rPr>
          <w:rFonts w:ascii="Times New Roman" w:hAnsi="Times New Roman"/>
          <w:b w:val="0"/>
          <w:i/>
          <w:sz w:val="24"/>
        </w:rPr>
        <w:t>brain function</w:t>
      </w:r>
      <w:r>
        <w:rPr>
          <w:rFonts w:ascii="Times New Roman" w:hAnsi="Times New Roman"/>
          <w:b w:val="0"/>
          <w:i w:val="0"/>
          <w:sz w:val="24"/>
        </w:rPr>
        <w:t>) without a modality-specific term were excluded at this stage, as these terms alone could not confirm the presence of a neural measurement. Stage 1 excluded 1,314 records, retaining 513 for Stage 2.</w:t>
      </w:r>
    </w:p>
    <w:p>
      <w:pPr>
        <w:jc w:val="left"/>
        <w:spacing w:before="0" w:after="120" w:line="480" w:lineRule="auto"/>
      </w:pPr>
      <w:r>
        <w:rPr>
          <w:rFonts w:ascii="Times New Roman" w:hAnsi="Times New Roman"/>
          <w:b/>
          <w:i w:val="0"/>
          <w:sz w:val="24"/>
        </w:rPr>
        <w:t>Stage 2 (Title/abstract review):</w:t>
      </w:r>
      <w:r>
        <w:rPr>
          <w:rFonts w:ascii="Times New Roman" w:hAnsi="Times New Roman"/>
          <w:b w:val="0"/>
          <w:i w:val="0"/>
          <w:sz w:val="24"/>
        </w:rPr>
        <w:t xml:space="preserve"> Two reviewers independently screened all 513 records against the full PICOS eligibility criteria. Initial agreement between reviewers exceeded 88%; disagreements were resolved by discussion and consensus. Stage 2 excluded 380 records, retaining 133 for full-text retrieval.</w:t>
      </w:r>
    </w:p>
    <w:p>
      <w:pPr>
        <w:jc w:val="left"/>
        <w:spacing w:before="0" w:after="120" w:line="480" w:lineRule="auto"/>
      </w:pPr>
      <w:r>
        <w:rPr>
          <w:rFonts w:ascii="Times New Roman" w:hAnsi="Times New Roman"/>
          <w:b/>
          <w:i w:val="0"/>
          <w:sz w:val="24"/>
        </w:rPr>
        <w:t>Stage 3 (Full-text eligibility):</w:t>
      </w:r>
      <w:r>
        <w:rPr>
          <w:rFonts w:ascii="Times New Roman" w:hAnsi="Times New Roman"/>
          <w:b w:val="0"/>
          <w:i w:val="0"/>
          <w:sz w:val="24"/>
        </w:rPr>
        <w:t xml:space="preserve"> Full-text PDFs were sought for all 133 records; 1 record could not be retrieved after reasonable effort (E6) and is reported separately as a not-retrieved record. Of the remaining 132 records, 23 were excluded prior to full-text review on the basis of abstract information alone (22 records) or confirmed retraction (1 record). Two reviewers independently assessed all 109 full texts against the eligibility criteria. Full-text review included systematic verification that parental education or SES had an independently estimable effect (i.e., reported as a separate regression coefficient, primary exposure variable, or with a statistically significant independent association with a neural outcome); studies in which education was subsumed within a composite SES factor without a separable coefficient, or served only as a covariate without a reported independent effect, were excluded (E2). Disagreements were resolved by consensus discussion. This process yielded 16 studies meeting all inclusion criteria; 93 were excluded at full-text stage. Primary reasons for full-text exclusion were: parental education/SES not independently estimable (E2, </w:t>
      </w:r>
      <w:r>
        <w:rPr>
          <w:rFonts w:ascii="Times New Roman" w:hAnsi="Times New Roman"/>
          <w:b w:val="0"/>
          <w:i/>
          <w:sz w:val="24"/>
        </w:rPr>
        <w:t>k</w:t>
      </w:r>
      <w:r>
        <w:rPr>
          <w:rFonts w:ascii="Times New Roman" w:hAnsi="Times New Roman"/>
          <w:b w:val="0"/>
          <w:i w:val="0"/>
          <w:sz w:val="24"/>
        </w:rPr>
        <w:t xml:space="preserve"> = 83); duplicate records of an included study or preprint superseded by a published version (E7, </w:t>
      </w:r>
      <w:r>
        <w:rPr>
          <w:rFonts w:ascii="Times New Roman" w:hAnsi="Times New Roman"/>
          <w:b w:val="0"/>
          <w:i/>
          <w:sz w:val="24"/>
        </w:rPr>
        <w:t>k</w:t>
      </w:r>
      <w:r>
        <w:rPr>
          <w:rFonts w:ascii="Times New Roman" w:hAnsi="Times New Roman"/>
          <w:b w:val="0"/>
          <w:i w:val="0"/>
          <w:sz w:val="24"/>
        </w:rPr>
        <w:t xml:space="preserve"> = 5); non-empirical publication type (E4, </w:t>
      </w:r>
      <w:r>
        <w:rPr>
          <w:rFonts w:ascii="Times New Roman" w:hAnsi="Times New Roman"/>
          <w:b w:val="0"/>
          <w:i/>
          <w:sz w:val="24"/>
        </w:rPr>
        <w:t>k</w:t>
      </w:r>
      <w:r>
        <w:rPr>
          <w:rFonts w:ascii="Times New Roman" w:hAnsi="Times New Roman"/>
          <w:b w:val="0"/>
          <w:i w:val="0"/>
          <w:sz w:val="24"/>
        </w:rPr>
        <w:t xml:space="preserve"> = 2); no neural outcome measure (E3, </w:t>
      </w:r>
      <w:r>
        <w:rPr>
          <w:rFonts w:ascii="Times New Roman" w:hAnsi="Times New Roman"/>
          <w:b w:val="0"/>
          <w:i/>
          <w:sz w:val="24"/>
        </w:rPr>
        <w:t>k</w:t>
      </w:r>
      <w:r>
        <w:rPr>
          <w:rFonts w:ascii="Times New Roman" w:hAnsi="Times New Roman"/>
          <w:b w:val="0"/>
          <w:i w:val="0"/>
          <w:sz w:val="24"/>
        </w:rPr>
        <w:t xml:space="preserve"> = 1); full text inaccessible despite reasonable effort (E6, </w:t>
      </w:r>
      <w:r>
        <w:rPr>
          <w:rFonts w:ascii="Times New Roman" w:hAnsi="Times New Roman"/>
          <w:b w:val="0"/>
          <w:i/>
          <w:sz w:val="24"/>
        </w:rPr>
        <w:t>k</w:t>
      </w:r>
      <w:r>
        <w:rPr>
          <w:rFonts w:ascii="Times New Roman" w:hAnsi="Times New Roman"/>
          <w:b w:val="0"/>
          <w:i w:val="0"/>
          <w:sz w:val="24"/>
        </w:rPr>
        <w:t xml:space="preserve"> = 1); and age range outside 0–8 years without eligible subgroup data (E1, </w:t>
      </w:r>
      <w:r>
        <w:rPr>
          <w:rFonts w:ascii="Times New Roman" w:hAnsi="Times New Roman"/>
          <w:b w:val="0"/>
          <w:i/>
          <w:sz w:val="24"/>
        </w:rPr>
        <w:t>k</w:t>
      </w:r>
      <w:r>
        <w:rPr>
          <w:rFonts w:ascii="Times New Roman" w:hAnsi="Times New Roman"/>
          <w:b w:val="0"/>
          <w:i w:val="0"/>
          <w:sz w:val="24"/>
        </w:rPr>
        <w:t xml:space="preserve"> = 1). A PRISMA 2020 flow diagram is presented in Figure 1.</w:t>
      </w:r>
    </w:p>
    <w:p>
      <w:pPr>
        <w:pStyle w:val="Heading2"/>
        <w:spacing w:before="200" w:after="40" w:line="360" w:lineRule="auto"/>
      </w:pPr>
      <w:r>
        <w:rPr>
          <w:rFonts w:ascii="Times New Roman" w:hAnsi="Times New Roman"/>
          <w:b/>
          <w:sz w:val="26"/>
        </w:rPr>
        <w:t>2.5 Data extraction</w:t>
      </w:r>
    </w:p>
    <w:p>
      <w:pPr>
        <w:jc w:val="left"/>
        <w:spacing w:before="0" w:after="120" w:line="480" w:lineRule="auto"/>
      </w:pPr>
      <w:r>
        <w:rPr>
          <w:rFonts w:ascii="Times New Roman" w:hAnsi="Times New Roman"/>
          <w:b w:val="0"/>
          <w:i w:val="0"/>
          <w:sz w:val="24"/>
        </w:rPr>
        <w:t>Data were extracted by two independent reviewers using a pre-specified extraction form comprising approximately 32 fields organized into five domains: (1) basic study characteristics (authors, year, country, design, sample size, age); (2) SES/education measurement (measure type, reporter, coding, composite vs. independent operationalization); (3) neural measurement (modality, paradigm, brain regions/electrodes, specific metrics); (4) outcome data (effect direction, effect size where reported, statistical values, controlled covariates); and (5) narrative notes (boundary cases, measurement caveats). Initial agreement between extractors exceeded 85%; disagreements were resolved by consensus. For studies reporting multiple neural outcomes, data for each distinct neural measure were extracted separately.</w:t>
      </w:r>
    </w:p>
    <w:p>
      <w:pPr>
        <w:pStyle w:val="Heading2"/>
        <w:spacing w:before="200" w:after="40" w:line="360" w:lineRule="auto"/>
      </w:pPr>
      <w:r>
        <w:rPr>
          <w:rFonts w:ascii="Times New Roman" w:hAnsi="Times New Roman"/>
          <w:b/>
          <w:sz w:val="26"/>
        </w:rPr>
        <w:t>2.6 Quality assessment</w:t>
      </w:r>
    </w:p>
    <w:p>
      <w:pPr>
        <w:jc w:val="left"/>
        <w:spacing w:before="0" w:after="120" w:line="480" w:lineRule="auto"/>
      </w:pPr>
      <w:r>
        <w:rPr>
          <w:rFonts w:ascii="Times New Roman" w:hAnsi="Times New Roman"/>
          <w:b w:val="0"/>
          <w:i w:val="0"/>
          <w:sz w:val="24"/>
        </w:rPr>
        <w:t>Study quality was assessed using the Newcastle–Ottawa Scale (NOS) for observational studies (Wells et al., 2000). The NOS evaluates three domains: selection of study groups (0–4 stars), comparability of groups (0–2 stars), and assessment of outcomes/exposures (0–3 stars), yielding a maximum score of 9. Two reviewers independently rated all 16 studies; disagreements were resolved by consensus. Studies scoring ≥7 were classified as high quality, 5–6 as moderate quality, and ≤4 as low quality.</w:t>
      </w:r>
    </w:p>
    <w:p>
      <w:pPr>
        <w:pStyle w:val="Heading2"/>
        <w:spacing w:before="200" w:after="40" w:line="360" w:lineRule="auto"/>
      </w:pPr>
      <w:r>
        <w:rPr>
          <w:rFonts w:ascii="Times New Roman" w:hAnsi="Times New Roman"/>
          <w:b/>
          <w:sz w:val="26"/>
        </w:rPr>
        <w:t>2.7 Data synthesis</w:t>
      </w:r>
    </w:p>
    <w:p>
      <w:pPr>
        <w:jc w:val="left"/>
        <w:spacing w:before="0" w:after="120" w:line="480" w:lineRule="auto"/>
      </w:pPr>
      <w:r>
        <w:rPr>
          <w:rFonts w:ascii="Times New Roman" w:hAnsi="Times New Roman"/>
          <w:b w:val="0"/>
          <w:i w:val="0"/>
          <w:sz w:val="24"/>
        </w:rPr>
        <w:t>Owing to substantial methodological heterogeneity across studies—spanning six neural modalities, diverse paradigms, and outcome measures that are incommensurable across modalities—quantitative pooling was not performed. A narrative synthesis approach was used instead, following the Synthesis Without Meta-analysis (SWiM) guidance (Campbell et al., 2020). Studies are organized primarily by neural modality and secondarily by age at measurement. Within each modality section, we describe: (a) the specific neural measure, (b) the operationalization and independent association of parental education, (c) key statistical findings, and (d) relevant covariates controlled. We note that the directional vote-count reported (15 of 16 studies positive) treats each study as a single data point regardless of sample size; larger studies with more precise estimates are not formally down-weighted here, which is a recognized limitation of narrative synthesis that readers should consider when interpreting the apparent consistency of evidence.</w:t>
      </w:r>
    </w:p>
    <w:p>
      <w:r>
        <w:br w:type="page"/>
      </w:r>
    </w:p>
    <w:p>
      <w:pPr>
        <w:pStyle w:val="Heading1"/>
        <w:spacing w:before="240" w:after="60" w:line="360" w:lineRule="auto"/>
      </w:pPr>
      <w:r>
        <w:rPr>
          <w:rFonts w:ascii="Times New Roman" w:hAnsi="Times New Roman"/>
          <w:b/>
          <w:sz w:val="28"/>
        </w:rPr>
        <w:t>3. Results</w:t>
      </w:r>
    </w:p>
    <w:p>
      <w:pPr>
        <w:pStyle w:val="Heading2"/>
        <w:spacing w:before="200" w:after="40" w:line="360" w:lineRule="auto"/>
      </w:pPr>
      <w:r>
        <w:rPr>
          <w:rFonts w:ascii="Times New Roman" w:hAnsi="Times New Roman"/>
          <w:b/>
          <w:sz w:val="26"/>
        </w:rPr>
        <w:t>3.1 Study selection and characteristics</w:t>
      </w:r>
    </w:p>
    <w:p>
      <w:pPr>
        <w:jc w:val="left"/>
        <w:spacing w:before="0" w:after="120" w:line="480" w:lineRule="auto"/>
      </w:pPr>
      <w:r>
        <w:rPr>
          <w:rFonts w:ascii="Times New Roman" w:hAnsi="Times New Roman"/>
          <w:b w:val="0"/>
          <w:i w:val="0"/>
          <w:sz w:val="24"/>
        </w:rPr>
        <w:t xml:space="preserve">The search identified 3,097 records across four databases (PubMed = 521, PsycINFO = 296, Web of Science = 1,011, Scopus = 1,269). After deduplication, 1,827 unique records remained. Automated keyword pre-screening excluded a further 1,314 records (Stage 1), and title/abstract review excluded 380 records (Stage 2), yielding 133 records for full-text retrieval. Full-text PDFs were sought for all 133 records; 1 record could not be retrieved. Of the remaining 132 records, 23 were excluded prior to full-text review (abstract-based exclusion, </w:t>
      </w:r>
      <w:r>
        <w:rPr>
          <w:rFonts w:ascii="Times New Roman" w:hAnsi="Times New Roman"/>
          <w:b w:val="0"/>
          <w:i/>
          <w:sz w:val="24"/>
        </w:rPr>
        <w:t>k</w:t>
      </w:r>
      <w:r>
        <w:rPr>
          <w:rFonts w:ascii="Times New Roman" w:hAnsi="Times New Roman"/>
          <w:b w:val="0"/>
          <w:i w:val="0"/>
          <w:sz w:val="24"/>
        </w:rPr>
        <w:t xml:space="preserve"> = 22; retracted publication, </w:t>
      </w:r>
      <w:r>
        <w:rPr>
          <w:rFonts w:ascii="Times New Roman" w:hAnsi="Times New Roman"/>
          <w:b w:val="0"/>
          <w:i/>
          <w:sz w:val="24"/>
        </w:rPr>
        <w:t>k</w:t>
      </w:r>
      <w:r>
        <w:rPr>
          <w:rFonts w:ascii="Times New Roman" w:hAnsi="Times New Roman"/>
          <w:b w:val="0"/>
          <w:i w:val="0"/>
          <w:sz w:val="24"/>
        </w:rPr>
        <w:t xml:space="preserve"> = 1), leaving 109 for full-text assessment. Full-text review of 109 records resulted in 93 exclusions; the most common reason was that parental education lacked an independently estimable effect (E2, </w:t>
      </w:r>
      <w:r>
        <w:rPr>
          <w:rFonts w:ascii="Times New Roman" w:hAnsi="Times New Roman"/>
          <w:b w:val="0"/>
          <w:i/>
          <w:sz w:val="24"/>
        </w:rPr>
        <w:t>k</w:t>
      </w:r>
      <w:r>
        <w:rPr>
          <w:rFonts w:ascii="Times New Roman" w:hAnsi="Times New Roman"/>
          <w:b w:val="0"/>
          <w:i w:val="0"/>
          <w:sz w:val="24"/>
        </w:rPr>
        <w:t xml:space="preserve"> = 83), followed by duplicate or superseded records (E7, </w:t>
      </w:r>
      <w:r>
        <w:rPr>
          <w:rFonts w:ascii="Times New Roman" w:hAnsi="Times New Roman"/>
          <w:b w:val="0"/>
          <w:i/>
          <w:sz w:val="24"/>
        </w:rPr>
        <w:t>k</w:t>
      </w:r>
      <w:r>
        <w:rPr>
          <w:rFonts w:ascii="Times New Roman" w:hAnsi="Times New Roman"/>
          <w:b w:val="0"/>
          <w:i w:val="0"/>
          <w:sz w:val="24"/>
        </w:rPr>
        <w:t xml:space="preserve"> = 5), non-empirical publication type (E4, </w:t>
      </w:r>
      <w:r>
        <w:rPr>
          <w:rFonts w:ascii="Times New Roman" w:hAnsi="Times New Roman"/>
          <w:b w:val="0"/>
          <w:i/>
          <w:sz w:val="24"/>
        </w:rPr>
        <w:t>k</w:t>
      </w:r>
      <w:r>
        <w:rPr>
          <w:rFonts w:ascii="Times New Roman" w:hAnsi="Times New Roman"/>
          <w:b w:val="0"/>
          <w:i w:val="0"/>
          <w:sz w:val="24"/>
        </w:rPr>
        <w:t xml:space="preserve"> = 2), and single cases each of no neural outcome (E3, </w:t>
      </w:r>
      <w:r>
        <w:rPr>
          <w:rFonts w:ascii="Times New Roman" w:hAnsi="Times New Roman"/>
          <w:b w:val="0"/>
          <w:i/>
          <w:sz w:val="24"/>
        </w:rPr>
        <w:t>k</w:t>
      </w:r>
      <w:r>
        <w:rPr>
          <w:rFonts w:ascii="Times New Roman" w:hAnsi="Times New Roman"/>
          <w:b w:val="0"/>
          <w:i w:val="0"/>
          <w:sz w:val="24"/>
        </w:rPr>
        <w:t xml:space="preserve"> = 1), full text inaccessible (E6, </w:t>
      </w:r>
      <w:r>
        <w:rPr>
          <w:rFonts w:ascii="Times New Roman" w:hAnsi="Times New Roman"/>
          <w:b w:val="0"/>
          <w:i/>
          <w:sz w:val="24"/>
        </w:rPr>
        <w:t>k</w:t>
      </w:r>
      <w:r>
        <w:rPr>
          <w:rFonts w:ascii="Times New Roman" w:hAnsi="Times New Roman"/>
          <w:b w:val="0"/>
          <w:i w:val="0"/>
          <w:sz w:val="24"/>
        </w:rPr>
        <w:t xml:space="preserve"> = 1), and age range outside target window (E1, </w:t>
      </w:r>
      <w:r>
        <w:rPr>
          <w:rFonts w:ascii="Times New Roman" w:hAnsi="Times New Roman"/>
          <w:b w:val="0"/>
          <w:i/>
          <w:sz w:val="24"/>
        </w:rPr>
        <w:t>k</w:t>
      </w:r>
      <w:r>
        <w:rPr>
          <w:rFonts w:ascii="Times New Roman" w:hAnsi="Times New Roman"/>
          <w:b w:val="0"/>
          <w:i w:val="0"/>
          <w:sz w:val="24"/>
        </w:rPr>
        <w:t xml:space="preserve"> = 1). Sixteen studies met all inclusion criteria and were included in the review (see Figure 1 for PRISMA flow diagram).</w:t>
      </w:r>
    </w:p>
    <w:p>
      <w:pPr>
        <w:jc w:val="left"/>
        <w:spacing w:before="0" w:after="120" w:line="480" w:lineRule="auto"/>
      </w:pPr>
      <w:r>
        <w:rPr>
          <w:rFonts w:ascii="Times New Roman" w:hAnsi="Times New Roman"/>
          <w:b w:val="0"/>
          <w:i w:val="0"/>
          <w:sz w:val="24"/>
        </w:rPr>
        <w:t xml:space="preserve">The 16 included studies were published between 2010 and 2024 and involved approximately 2,200 children across 10 countries or regions (United States, United Kingdom, Germany, Canada, Spain, Brazil, India, Norway, and a US/UK/Norway multinational cohort). Sample sizes ranged from 26 to 373 (median ≈ 97). Studies spanned six neural modalities: structural MRI (sMRI; </w:t>
      </w:r>
      <w:r>
        <w:rPr>
          <w:rFonts w:ascii="Times New Roman" w:hAnsi="Times New Roman"/>
          <w:b w:val="0"/>
          <w:i/>
          <w:sz w:val="24"/>
        </w:rPr>
        <w:t>k</w:t>
      </w:r>
      <w:r>
        <w:rPr>
          <w:rFonts w:ascii="Times New Roman" w:hAnsi="Times New Roman"/>
          <w:b w:val="0"/>
          <w:i w:val="0"/>
          <w:sz w:val="24"/>
        </w:rPr>
        <w:t xml:space="preserve"> = 5, including one study in which brain volume served as a covariate rather than primary outcome; see Section 3.5.1), functional MRI (fMRI; </w:t>
      </w:r>
      <w:r>
        <w:rPr>
          <w:rFonts w:ascii="Times New Roman" w:hAnsi="Times New Roman"/>
          <w:b w:val="0"/>
          <w:i/>
          <w:sz w:val="24"/>
        </w:rPr>
        <w:t>k</w:t>
      </w:r>
      <w:r>
        <w:rPr>
          <w:rFonts w:ascii="Times New Roman" w:hAnsi="Times New Roman"/>
          <w:b w:val="0"/>
          <w:i w:val="0"/>
          <w:sz w:val="24"/>
        </w:rPr>
        <w:t xml:space="preserve"> = 2), diffusion tensor imaging (DTI; </w:t>
      </w:r>
      <w:r>
        <w:rPr>
          <w:rFonts w:ascii="Times New Roman" w:hAnsi="Times New Roman"/>
          <w:b w:val="0"/>
          <w:i/>
          <w:sz w:val="24"/>
        </w:rPr>
        <w:t>k</w:t>
      </w:r>
      <w:r>
        <w:rPr>
          <w:rFonts w:ascii="Times New Roman" w:hAnsi="Times New Roman"/>
          <w:b w:val="0"/>
          <w:i w:val="0"/>
          <w:sz w:val="24"/>
        </w:rPr>
        <w:t xml:space="preserve"> = 3), resting-state EEG (rsEEG; </w:t>
      </w:r>
      <w:r>
        <w:rPr>
          <w:rFonts w:ascii="Times New Roman" w:hAnsi="Times New Roman"/>
          <w:b w:val="0"/>
          <w:i/>
          <w:sz w:val="24"/>
        </w:rPr>
        <w:t>k</w:t>
      </w:r>
      <w:r>
        <w:rPr>
          <w:rFonts w:ascii="Times New Roman" w:hAnsi="Times New Roman"/>
          <w:b w:val="0"/>
          <w:i w:val="0"/>
          <w:sz w:val="24"/>
        </w:rPr>
        <w:t xml:space="preserve"> = 3), event-related potentials (ERP; </w:t>
      </w:r>
      <w:r>
        <w:rPr>
          <w:rFonts w:ascii="Times New Roman" w:hAnsi="Times New Roman"/>
          <w:b w:val="0"/>
          <w:i/>
          <w:sz w:val="24"/>
        </w:rPr>
        <w:t>k</w:t>
      </w:r>
      <w:r>
        <w:rPr>
          <w:rFonts w:ascii="Times New Roman" w:hAnsi="Times New Roman"/>
          <w:b w:val="0"/>
          <w:i w:val="0"/>
          <w:sz w:val="24"/>
        </w:rPr>
        <w:t xml:space="preserve"> = 2; one study additionally included frontal theta power analysis), and functional near-infrared spectroscopy (fNIRS; </w:t>
      </w:r>
      <w:r>
        <w:rPr>
          <w:rFonts w:ascii="Times New Roman" w:hAnsi="Times New Roman"/>
          <w:b w:val="0"/>
          <w:i/>
          <w:sz w:val="24"/>
        </w:rPr>
        <w:t>k</w:t>
      </w:r>
      <w:r>
        <w:rPr>
          <w:rFonts w:ascii="Times New Roman" w:hAnsi="Times New Roman"/>
          <w:b w:val="0"/>
          <w:i w:val="0"/>
          <w:sz w:val="24"/>
        </w:rPr>
        <w:t xml:space="preserve"> = 1). Child age at neural measurement ranged from birth (neonatal period) to 15 years, with the majority of studies (12 of 16) focusing on children within the 0–8 year target window. Four studies included samples extending beyond 8 years but reported subgroup analyses or primary effects within the target range. Study characteristics are summarized in Table 1.</w:t>
      </w:r>
    </w:p>
    <w:p>
      <w:pPr>
        <w:jc w:val="left"/>
        <w:spacing w:before="0" w:after="120" w:line="480" w:lineRule="auto"/>
      </w:pPr>
      <w:r>
        <w:rPr>
          <w:rFonts w:ascii="Times New Roman" w:hAnsi="Times New Roman"/>
          <w:b w:val="0"/>
          <w:i w:val="0"/>
          <w:sz w:val="24"/>
        </w:rPr>
        <w:t xml:space="preserve">Parental education was operationalized as the sole SES exposure in 9 studies; in the remaining 7, it was one component of a composite SES index but with a separately estimable regression coefficient. The most common operationalization was maternal education in years of schooling (continuous; </w:t>
      </w:r>
      <w:r>
        <w:rPr>
          <w:rFonts w:ascii="Times New Roman" w:hAnsi="Times New Roman"/>
          <w:b w:val="0"/>
          <w:i/>
          <w:sz w:val="24"/>
        </w:rPr>
        <w:t>k</w:t>
      </w:r>
      <w:r>
        <w:rPr>
          <w:rFonts w:ascii="Times New Roman" w:hAnsi="Times New Roman"/>
          <w:b w:val="0"/>
          <w:i w:val="0"/>
          <w:sz w:val="24"/>
        </w:rPr>
        <w:t xml:space="preserve"> = 7), followed by categorical highest educational attainment (university degree vs. lower; </w:t>
      </w:r>
      <w:r>
        <w:rPr>
          <w:rFonts w:ascii="Times New Roman" w:hAnsi="Times New Roman"/>
          <w:b w:val="0"/>
          <w:i/>
          <w:sz w:val="24"/>
        </w:rPr>
        <w:t>k</w:t>
      </w:r>
      <w:r>
        <w:rPr>
          <w:rFonts w:ascii="Times New Roman" w:hAnsi="Times New Roman"/>
          <w:b w:val="0"/>
          <w:i w:val="0"/>
          <w:sz w:val="24"/>
        </w:rPr>
        <w:t xml:space="preserve"> = 5), and mean or highest parental education combined (</w:t>
      </w:r>
      <w:r>
        <w:rPr>
          <w:rFonts w:ascii="Times New Roman" w:hAnsi="Times New Roman"/>
          <w:b w:val="0"/>
          <w:i/>
          <w:sz w:val="24"/>
        </w:rPr>
        <w:t>k</w:t>
      </w:r>
      <w:r>
        <w:rPr>
          <w:rFonts w:ascii="Times New Roman" w:hAnsi="Times New Roman"/>
          <w:b w:val="0"/>
          <w:i w:val="0"/>
          <w:sz w:val="24"/>
        </w:rPr>
        <w:t xml:space="preserve"> = 4).</w:t>
      </w:r>
    </w:p>
    <w:p>
      <w:pPr>
        <w:jc w:val="left"/>
        <w:spacing w:before="0" w:after="120" w:line="480" w:lineRule="auto"/>
      </w:pPr>
      <w:r>
        <w:rPr>
          <w:rFonts w:ascii="Times New Roman" w:hAnsi="Times New Roman"/>
          <w:b w:val="0"/>
          <w:i w:val="0"/>
          <w:sz w:val="24"/>
        </w:rPr>
        <w:t>Fifteen of the 16 studies (94%) reported a positive association between higher parental education and more mature or stronger neural indices. One study (Wienke et al., 2024) reported a negative pattern, specifically among infants of low-educated migrant families, in the context of migration-related exposure heterogeneity (see Section 3.3 for details). Study designs were predominantly cross-sectional (</w:t>
      </w:r>
      <w:r>
        <w:rPr>
          <w:rFonts w:ascii="Times New Roman" w:hAnsi="Times New Roman"/>
          <w:b w:val="0"/>
          <w:i/>
          <w:sz w:val="24"/>
        </w:rPr>
        <w:t>k</w:t>
      </w:r>
      <w:r>
        <w:rPr>
          <w:rFonts w:ascii="Times New Roman" w:hAnsi="Times New Roman"/>
          <w:b w:val="0"/>
          <w:i w:val="0"/>
          <w:sz w:val="24"/>
        </w:rPr>
        <w:t xml:space="preserve"> = 12); four studies employed longitudinal designs with follow-up intervals ranging from 6 months to 3 years.</w:t>
      </w:r>
    </w:p>
    <w:p>
      <w:pPr>
        <w:jc w:val="left"/>
        <w:spacing w:before="0" w:after="120" w:line="480" w:lineRule="auto"/>
      </w:pPr>
      <w:r>
        <w:rPr>
          <w:rFonts w:ascii="Times New Roman" w:hAnsi="Times New Roman"/>
          <w:b/>
          <w:i w:val="0"/>
          <w:sz w:val="24"/>
        </w:rPr>
        <w:t>Table 1. Characteristics of included studies (N = 16)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Study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Country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Age at measure</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Design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Modality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Education operationalization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Effect direction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NOS</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Wienke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255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6–14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Negative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Wijeakumar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India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fNIRS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Stiver et al. (2015)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Term-equivalent age → 2 years corrected age (longitudinal)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Brito &amp; Noble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179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6–12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Zhu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USA/UK/Norway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373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Birth–8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Konrad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(preterm; two MRI timepoints)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Demir-Lira et al. (2021)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6–13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Ramphal et al.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112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 2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Ozernov-Palchik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Maguire &amp; Schneider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8–15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Shephard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Brazil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Spain</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16–18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Ursache &amp; Noble (2016)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107</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3–21 years (focus 6–9y)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Lange et al. (2010)</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309</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4–18 years</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NOS = Newcastle–Ottawa Scale total score (range 0–9; ≥7 = high quality, 5–6 = moderate, ≤4 = low). Effect direction classified as positive when higher parental education was associated with a more mature, stronger, or larger neural index; negative when higher parental education was associated with reduced amplitude, lower connectivity, or a less differentiated neural response. † Original </w:t>
      </w:r>
      <w:r>
        <w:rPr>
          <w:rFonts w:ascii="Times New Roman" w:hAnsi="Times New Roman"/>
          <w:b w:val="0"/>
          <w:i/>
          <w:sz w:val="20"/>
        </w:rPr>
        <w:t>p</w:t>
      </w:r>
      <w:r>
        <w:rPr>
          <w:rFonts w:ascii="Times New Roman" w:hAnsi="Times New Roman"/>
          <w:b w:val="0"/>
          <w:i w:val="0"/>
          <w:sz w:val="20"/>
        </w:rPr>
        <w:t xml:space="preserve"> = .025; association did not survive false-discovery rate (FDR) correction.</w:t>
      </w:r>
    </w:p>
    <w:p>
      <w:pPr>
        <w:pStyle w:val="Heading2"/>
        <w:spacing w:before="200" w:after="40" w:line="360" w:lineRule="auto"/>
      </w:pPr>
      <w:r>
        <w:rPr>
          <w:rFonts w:ascii="Times New Roman" w:hAnsi="Times New Roman"/>
          <w:b/>
          <w:sz w:val="26"/>
        </w:rPr>
        <w:t>3.2 Study quality</w:t>
      </w:r>
    </w:p>
    <w:p>
      <w:pPr>
        <w:jc w:val="left"/>
        <w:spacing w:before="0" w:after="120" w:line="480" w:lineRule="auto"/>
      </w:pPr>
      <w:r>
        <w:rPr>
          <w:rFonts w:ascii="Times New Roman" w:hAnsi="Times New Roman"/>
          <w:b w:val="0"/>
          <w:i w:val="0"/>
          <w:sz w:val="24"/>
        </w:rPr>
        <w:t>NOS scores ranged from 6 to 9 (mean = 7.1, SD = 0.8). Twelve of 16 studies (75%) were rated high quality (NOS ≥ 7); four studies (25%) were rated moderate quality (NOS = 6). No study was rated low quality. Higher-scoring studies tended to be longitudinal designs (e.g., Stiver et al., 2015, NOS = 8; Ramphal et al., 2020, NOS = 8) or neonatal cohort studies with prospective assessment of parental education prior to birth (McKinnon et al., 2023, NOS = 9). The principal sources of point deductions were: absence of a non-exposed comparison group (NOS comparability domain), reliance on parent-reported education without independent verification, and outcome assessment not blinded to exposure status. Detailed NOS scores by domain are provided in Supplementary Table S1.</w:t>
      </w:r>
    </w:p>
    <w:p>
      <w:pPr>
        <w:pStyle w:val="Heading2"/>
        <w:spacing w:before="200" w:after="40" w:line="360" w:lineRule="auto"/>
      </w:pPr>
      <w:r>
        <w:rPr>
          <w:rFonts w:ascii="Times New Roman" w:hAnsi="Times New Roman"/>
          <w:b/>
          <w:sz w:val="26"/>
        </w:rPr>
        <w:t>3.3 Electrophysiological evidence: resting-state EEG and event-related potentials</w:t>
      </w:r>
    </w:p>
    <w:p>
      <w:pPr>
        <w:jc w:val="left"/>
        <w:spacing w:before="0" w:after="120" w:line="480" w:lineRule="auto"/>
      </w:pPr>
      <w:r>
        <w:rPr>
          <w:rFonts w:ascii="Times New Roman" w:hAnsi="Times New Roman"/>
          <w:b w:val="0"/>
          <w:i w:val="0"/>
          <w:sz w:val="24"/>
        </w:rPr>
        <w:t>Five studies examined electrophysiological markers—three using resting-state EEG and two using ERP components—covering infant, toddler, and school-age samples.</w:t>
      </w:r>
    </w:p>
    <w:p>
      <w:pPr>
        <w:pStyle w:val="Heading3"/>
        <w:spacing w:before="160" w:after="40" w:line="360" w:lineRule="auto"/>
      </w:pPr>
      <w:r>
        <w:rPr>
          <w:rFonts w:ascii="Times New Roman" w:hAnsi="Times New Roman"/>
          <w:b/>
          <w:sz w:val="24"/>
        </w:rPr>
        <w:t>3.3.1 Resting-state EEG</w:t>
      </w:r>
    </w:p>
    <w:p>
      <w:pPr>
        <w:jc w:val="left"/>
        <w:spacing w:before="0" w:after="120" w:line="480" w:lineRule="auto"/>
      </w:pPr>
      <w:r>
        <w:rPr>
          <w:rFonts w:ascii="Times New Roman" w:hAnsi="Times New Roman"/>
          <w:b/>
          <w:i w:val="0"/>
          <w:sz w:val="24"/>
        </w:rPr>
        <w:t>Brito &amp; Noble (2020)</w:t>
      </w:r>
      <w:r>
        <w:rPr>
          <w:rFonts w:ascii="Times New Roman" w:hAnsi="Times New Roman"/>
          <w:b w:val="0"/>
          <w:i w:val="0"/>
          <w:sz w:val="24"/>
        </w:rPr>
        <w:t xml:space="preserve"> examined resting-state EEG power in a sample of 179 infants aged 6–12 months in the United States. Parental education was operationalized as a continuous composite index including maternal and paternal years of schooling; a regression coefficient was separately estimable. After controlling for income and other SES indicators, higher parental education was independently associated with greater posterior alpha/beta power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This pattern is consistent with more advanced cortical maturation in infancy, when alpha rhythms are emerging as markers of thalamocortical organization (Marshall &amp; Meltzoff, 2014), though the association did not survive false-discovery rate (FDR) correction and should be interpreted cautiously.</w:t>
      </w:r>
    </w:p>
    <w:p>
      <w:pPr>
        <w:jc w:val="left"/>
        <w:spacing w:before="0" w:after="120" w:line="480" w:lineRule="auto"/>
      </w:pPr>
      <w:r>
        <w:rPr>
          <w:rFonts w:ascii="Times New Roman" w:hAnsi="Times New Roman"/>
          <w:b/>
          <w:i w:val="0"/>
          <w:sz w:val="24"/>
        </w:rPr>
        <w:t>Maguire &amp; Schneider (2019)</w:t>
      </w:r>
      <w:r>
        <w:rPr>
          <w:rFonts w:ascii="Times New Roman" w:hAnsi="Times New Roman"/>
          <w:b w:val="0"/>
          <w:i w:val="0"/>
          <w:sz w:val="24"/>
        </w:rPr>
        <w:t xml:space="preserve"> studied resting-state EEG in 90 school-age children (8–15 years) in the United States, drawn from a sample spanning low-to-high income households. Two separate analyses were reported. First, income-group comparisons showed that children from low-income families had significantly lower alpha power (</w:t>
      </w:r>
      <w:r>
        <w:rPr>
          <w:rFonts w:ascii="Times New Roman" w:hAnsi="Times New Roman"/>
          <w:b w:val="0"/>
          <w:i/>
          <w:sz w:val="24"/>
        </w:rPr>
        <w:t>t</w:t>
      </w:r>
      <w:r>
        <w:rPr>
          <w:rFonts w:ascii="Times New Roman" w:hAnsi="Times New Roman"/>
          <w:b w:val="0"/>
          <w:i w:val="0"/>
          <w:sz w:val="24"/>
        </w:rPr>
        <w:t xml:space="preserve"> = 2.45, </w:t>
      </w:r>
      <w:r>
        <w:rPr>
          <w:rFonts w:ascii="Times New Roman" w:hAnsi="Times New Roman"/>
          <w:b w:val="0"/>
          <w:i/>
          <w:sz w:val="24"/>
        </w:rPr>
        <w:t>p</w:t>
      </w:r>
      <w:r>
        <w:rPr>
          <w:rFonts w:ascii="Times New Roman" w:hAnsi="Times New Roman"/>
          <w:b w:val="0"/>
          <w:i w:val="0"/>
          <w:sz w:val="24"/>
        </w:rPr>
        <w:t xml:space="preserve"> = .02) and higher theta power (</w:t>
      </w:r>
      <w:r>
        <w:rPr>
          <w:rFonts w:ascii="Times New Roman" w:hAnsi="Times New Roman"/>
          <w:b w:val="0"/>
          <w:i/>
          <w:sz w:val="24"/>
        </w:rPr>
        <w:t>t</w:t>
      </w:r>
      <w:r>
        <w:rPr>
          <w:rFonts w:ascii="Times New Roman" w:hAnsi="Times New Roman"/>
          <w:b w:val="0"/>
          <w:i w:val="0"/>
          <w:sz w:val="24"/>
        </w:rPr>
        <w:t xml:space="preserve"> = −2.80, </w:t>
      </w:r>
      <w:r>
        <w:rPr>
          <w:rFonts w:ascii="Times New Roman" w:hAnsi="Times New Roman"/>
          <w:b w:val="0"/>
          <w:i/>
          <w:sz w:val="24"/>
        </w:rPr>
        <w:t>p</w:t>
      </w:r>
      <w:r>
        <w:rPr>
          <w:rFonts w:ascii="Times New Roman" w:hAnsi="Times New Roman"/>
          <w:b w:val="0"/>
          <w:i w:val="0"/>
          <w:sz w:val="24"/>
        </w:rPr>
        <w:t xml:space="preserve"> = .007) than higher-income peers—a pattern associated with less mature cortical organization. Second, in an independent regression analysis, maternal education (not income group) independently predicted vocabulary size (</w:t>
      </w:r>
      <w:r>
        <w:rPr>
          <w:rFonts w:ascii="Times New Roman" w:hAnsi="Times New Roman"/>
          <w:b w:val="0"/>
          <w:i/>
          <w:sz w:val="24"/>
        </w:rPr>
        <w:t>β</w:t>
      </w:r>
      <w:r>
        <w:rPr>
          <w:rFonts w:ascii="Times New Roman" w:hAnsi="Times New Roman"/>
          <w:b w:val="0"/>
          <w:i w:val="0"/>
          <w:sz w:val="24"/>
        </w:rPr>
        <w:t xml:space="preserve"> = 0.31, </w:t>
      </w:r>
      <w:r>
        <w:rPr>
          <w:rFonts w:ascii="Times New Roman" w:hAnsi="Times New Roman"/>
          <w:b w:val="0"/>
          <w:i/>
          <w:sz w:val="24"/>
        </w:rPr>
        <w:t>p</w:t>
      </w:r>
      <w:r>
        <w:rPr>
          <w:rFonts w:ascii="Times New Roman" w:hAnsi="Times New Roman"/>
          <w:b w:val="0"/>
          <w:i w:val="0"/>
          <w:sz w:val="24"/>
        </w:rPr>
        <w:t xml:space="preserve"> = .02), after controlling for income and raw EEG metrics. These two analyses address different questions and are not directly linked: the income-EEG association reflects group-level differences in cortical maturation, whereas the education-vocabulary regression demonstrates that maternal education carries unique predictive weight for lexical development beyond household financial resources. The education-vocabulary finding points to a pathway from maternal educational attainment through language input quality to lexical development that is not reducible to income-related neural differences.</w:t>
      </w:r>
    </w:p>
    <w:p>
      <w:pPr>
        <w:jc w:val="left"/>
        <w:spacing w:before="0" w:after="120" w:line="480" w:lineRule="auto"/>
      </w:pPr>
      <w:r>
        <w:rPr>
          <w:rFonts w:ascii="Times New Roman" w:hAnsi="Times New Roman"/>
          <w:b/>
          <w:i w:val="0"/>
          <w:sz w:val="24"/>
        </w:rPr>
        <w:t>Shephard et al. (2019)</w:t>
      </w:r>
      <w:r>
        <w:rPr>
          <w:rFonts w:ascii="Times New Roman" w:hAnsi="Times New Roman"/>
          <w:b w:val="0"/>
          <w:i w:val="0"/>
          <w:sz w:val="24"/>
        </w:rPr>
        <w:t xml:space="preserve"> examined resting-state EEG in 31 infants aged 6 months born to adolescent mothers living in poverty in São Paulo, Brazil. Maternal education level (categorical, five levels) was the primary exposure alongside maternal psychopathology. Using cluster-based permutation testing and network-based statistics, lower maternal education was independently associated with weaker alpha-band functional connectivity (network statistic effect size </w:t>
      </w:r>
      <w:r>
        <w:rPr>
          <w:rFonts w:ascii="Times New Roman" w:hAnsi="Times New Roman"/>
          <w:b w:val="0"/>
          <w:i/>
          <w:sz w:val="24"/>
        </w:rPr>
        <w:t>d</w:t>
      </w:r>
      <w:r>
        <w:rPr>
          <w:rFonts w:ascii="Times New Roman" w:hAnsi="Times New Roman"/>
          <w:b w:val="0"/>
          <w:i w:val="0"/>
          <w:sz w:val="24"/>
        </w:rPr>
        <w:t xml:space="preserve"> = 0.61), after covarying for group (adolescent vs. adult mother). This finding is notable for two reasons. First, it extends the parental education–EEG association to a low-income, non-Western context—the only such sample in this review alongside Wijeakumar et al. (2019). Second, the alpha connectivity measure captures network-level organization rather than power at individual electrodes, providing a complementary index of cortical maturation to the power-based findings of Brito &amp; Noble (2020) and Maguire &amp; Schneider (2019). The small final EEG sample (</w:t>
      </w:r>
      <w:r>
        <w:rPr>
          <w:rFonts w:ascii="Times New Roman" w:hAnsi="Times New Roman"/>
          <w:b w:val="0"/>
          <w:i/>
          <w:sz w:val="24"/>
        </w:rPr>
        <w:t>n</w:t>
      </w:r>
      <w:r>
        <w:rPr>
          <w:rFonts w:ascii="Times New Roman" w:hAnsi="Times New Roman"/>
          <w:b w:val="0"/>
          <w:i w:val="0"/>
          <w:sz w:val="24"/>
        </w:rPr>
        <w:t xml:space="preserve"> = 31) limits statistical power, and the pilot design precludes strong causal inference.</w:t>
      </w:r>
    </w:p>
    <w:p>
      <w:pPr>
        <w:jc w:val="left"/>
        <w:spacing w:before="0" w:after="120" w:line="480" w:lineRule="auto"/>
      </w:pPr>
      <w:r>
        <w:rPr>
          <w:rFonts w:ascii="Times New Roman" w:hAnsi="Times New Roman"/>
          <w:b w:val="0"/>
          <w:i w:val="0"/>
          <w:sz w:val="24"/>
        </w:rPr>
        <w:t>The three resting-state EEG studies, read together, show a consistent pattern: higher parental education is associated with more differentiated and mature neural responses across multiple EEG indices, with evidence from three continents (North America, Europe, South America). The important caveat that migration-related linguistic diversity may modulate or partially reverse this pattern in infant auditory processing is noted for the Wienke et al. (2024) ERP findings, which stand apart as the review's sole negative result.</w:t>
      </w:r>
    </w:p>
    <w:p>
      <w:pPr>
        <w:pStyle w:val="Heading3"/>
        <w:spacing w:before="160" w:after="40" w:line="360" w:lineRule="auto"/>
      </w:pPr>
      <w:r>
        <w:rPr>
          <w:rFonts w:ascii="Times New Roman" w:hAnsi="Times New Roman"/>
          <w:b/>
          <w:sz w:val="24"/>
        </w:rPr>
        <w:t>3.3.2 Event-related potentials</w:t>
      </w:r>
    </w:p>
    <w:p>
      <w:pPr>
        <w:jc w:val="left"/>
        <w:spacing w:before="0" w:after="120" w:line="480" w:lineRule="auto"/>
      </w:pPr>
      <w:r>
        <w:rPr>
          <w:rFonts w:ascii="Times New Roman" w:hAnsi="Times New Roman"/>
          <w:b/>
          <w:i w:val="0"/>
          <w:sz w:val="24"/>
        </w:rPr>
        <w:t>Conejero et al. (2018)</w:t>
      </w:r>
      <w:r>
        <w:rPr>
          <w:rFonts w:ascii="Times New Roman" w:hAnsi="Times New Roman"/>
          <w:b w:val="0"/>
          <w:i w:val="0"/>
          <w:sz w:val="24"/>
        </w:rPr>
        <w:t xml:space="preserve"> examined error-monitoring neural responses in 52 toddlers (aged 16–18 months; final analysable sample after exclusions) in Spain. Using a passive puzzle-error observation paradigm—in which toddlers watched puzzle pieces being assembled correctly or incorrectly—the study recorded both the error-related negativity (ERN; a fronto-central time-domain component) and frontal theta power (4–7 Hz; a frequency-domain measure of the same error-detection process). Separate simple linear regressions were conducted for each SES predictor. When parental education (years of schooling) was entered as the sole predictor, it independently predicted a larger (more negative) ERN amplitude (</w:t>
      </w:r>
      <w:r>
        <w:rPr>
          <w:rFonts w:ascii="Times New Roman" w:hAnsi="Times New Roman"/>
          <w:b w:val="0"/>
          <w:i/>
          <w:sz w:val="24"/>
        </w:rPr>
        <w:t>β</w:t>
      </w:r>
      <w:r>
        <w:rPr>
          <w:rFonts w:ascii="Times New Roman" w:hAnsi="Times New Roman"/>
          <w:b w:val="0"/>
          <w:i w:val="0"/>
          <w:sz w:val="24"/>
        </w:rPr>
        <w:t xml:space="preserve"> = .31, </w:t>
      </w:r>
      <w:r>
        <w:rPr>
          <w:rFonts w:ascii="Times New Roman" w:hAnsi="Times New Roman"/>
          <w:b w:val="0"/>
          <w:i/>
          <w:sz w:val="24"/>
        </w:rPr>
        <w:t>F</w:t>
      </w:r>
      <w:r>
        <w:rPr>
          <w:rFonts w:ascii="Times New Roman" w:hAnsi="Times New Roman"/>
          <w:b w:val="0"/>
          <w:i w:val="0"/>
          <w:sz w:val="24"/>
        </w:rPr>
        <w:t xml:space="preserve">(1, 51) = 5.03, </w:t>
      </w:r>
      <w:r>
        <w:rPr>
          <w:rFonts w:ascii="Times New Roman" w:hAnsi="Times New Roman"/>
          <w:b w:val="0"/>
          <w:i/>
          <w:sz w:val="24"/>
        </w:rPr>
        <w:t>p</w:t>
      </w:r>
      <w:r>
        <w:rPr>
          <w:rFonts w:ascii="Times New Roman" w:hAnsi="Times New Roman"/>
          <w:b w:val="0"/>
          <w:i w:val="0"/>
          <w:sz w:val="24"/>
        </w:rPr>
        <w:t xml:space="preserve"> &lt; .05; </w:t>
      </w:r>
      <w:r>
        <w:rPr>
          <w:rFonts w:ascii="Times New Roman" w:hAnsi="Times New Roman"/>
          <w:b w:val="0"/>
          <w:i/>
          <w:sz w:val="24"/>
        </w:rPr>
        <w:t>R²</w:t>
      </w:r>
      <w:r>
        <w:rPr>
          <w:rFonts w:ascii="Times New Roman" w:hAnsi="Times New Roman"/>
          <w:b w:val="0"/>
          <w:i w:val="0"/>
          <w:sz w:val="24"/>
        </w:rPr>
        <w:t xml:space="preserve"> = .10). A parallel regression with the composite SES index (combining education, occupation, and income) as the sole predictor accounted for greater variance (</w:t>
      </w:r>
      <w:r>
        <w:rPr>
          <w:rFonts w:ascii="Times New Roman" w:hAnsi="Times New Roman"/>
          <w:b w:val="0"/>
          <w:i/>
          <w:sz w:val="24"/>
        </w:rPr>
        <w:t>β</w:t>
      </w:r>
      <w:r>
        <w:rPr>
          <w:rFonts w:ascii="Times New Roman" w:hAnsi="Times New Roman"/>
          <w:b w:val="0"/>
          <w:i w:val="0"/>
          <w:sz w:val="24"/>
        </w:rPr>
        <w:t xml:space="preserve"> = .355, </w:t>
      </w:r>
      <w:r>
        <w:rPr>
          <w:rFonts w:ascii="Times New Roman" w:hAnsi="Times New Roman"/>
          <w:b w:val="0"/>
          <w:i/>
          <w:sz w:val="24"/>
        </w:rPr>
        <w:t>F</w:t>
      </w:r>
      <w:r>
        <w:rPr>
          <w:rFonts w:ascii="Times New Roman" w:hAnsi="Times New Roman"/>
          <w:b w:val="0"/>
          <w:i w:val="0"/>
          <w:sz w:val="24"/>
        </w:rPr>
        <w:t xml:space="preserve">(1, 51) = 7.10, </w:t>
      </w:r>
      <w:r>
        <w:rPr>
          <w:rFonts w:ascii="Times New Roman" w:hAnsi="Times New Roman"/>
          <w:b w:val="0"/>
          <w:i/>
          <w:sz w:val="24"/>
        </w:rPr>
        <w:t>p</w:t>
      </w:r>
      <w:r>
        <w:rPr>
          <w:rFonts w:ascii="Times New Roman" w:hAnsi="Times New Roman"/>
          <w:b w:val="0"/>
          <w:i w:val="0"/>
          <w:sz w:val="24"/>
        </w:rPr>
        <w:t xml:space="preserve"> &lt; .05; </w:t>
      </w:r>
      <w:r>
        <w:rPr>
          <w:rFonts w:ascii="Times New Roman" w:hAnsi="Times New Roman"/>
          <w:b w:val="0"/>
          <w:i/>
          <w:sz w:val="24"/>
        </w:rPr>
        <w:t>R²</w:t>
      </w:r>
      <w:r>
        <w:rPr>
          <w:rFonts w:ascii="Times New Roman" w:hAnsi="Times New Roman"/>
          <w:b w:val="0"/>
          <w:i w:val="0"/>
          <w:sz w:val="24"/>
        </w:rPr>
        <w:t xml:space="preserve"> = .13), indicating that education contributes independently but that broader socioeconomic context captures additional explanatory power. Parental education showed a marginal association with frontal theta power in a third separate regression (</w:t>
      </w:r>
      <w:r>
        <w:rPr>
          <w:rFonts w:ascii="Times New Roman" w:hAnsi="Times New Roman"/>
          <w:b w:val="0"/>
          <w:i/>
          <w:sz w:val="24"/>
        </w:rPr>
        <w:t>β</w:t>
      </w:r>
      <w:r>
        <w:rPr>
          <w:rFonts w:ascii="Times New Roman" w:hAnsi="Times New Roman"/>
          <w:b w:val="0"/>
          <w:i w:val="0"/>
          <w:sz w:val="24"/>
        </w:rPr>
        <w:t xml:space="preserve"> = .25, </w:t>
      </w:r>
      <w:r>
        <w:rPr>
          <w:rFonts w:ascii="Times New Roman" w:hAnsi="Times New Roman"/>
          <w:b w:val="0"/>
          <w:i/>
          <w:sz w:val="24"/>
        </w:rPr>
        <w:t>F</w:t>
      </w:r>
      <w:r>
        <w:rPr>
          <w:rFonts w:ascii="Times New Roman" w:hAnsi="Times New Roman"/>
          <w:b w:val="0"/>
          <w:i w:val="0"/>
          <w:sz w:val="24"/>
        </w:rPr>
        <w:t xml:space="preserve">(1, 51) = 3.47, </w:t>
      </w:r>
      <w:r>
        <w:rPr>
          <w:rFonts w:ascii="Times New Roman" w:hAnsi="Times New Roman"/>
          <w:b w:val="0"/>
          <w:i/>
          <w:sz w:val="24"/>
        </w:rPr>
        <w:t>p</w:t>
      </w:r>
      <w:r>
        <w:rPr>
          <w:rFonts w:ascii="Times New Roman" w:hAnsi="Times New Roman"/>
          <w:b w:val="0"/>
          <w:i w:val="0"/>
          <w:sz w:val="24"/>
        </w:rPr>
        <w:t xml:space="preserve"> = .07). This is notable because the ERN is typically not robust until 5–6 years in Western samples (Davies et al., 2004; Torpey et al., 2009); its detectability in toddlers and its systematic variation with parental education implies that the neural substrates of cognitive control begin differentiating by SES-related environmental input within the first two years of life. The ERN finding was localized to fronto-central electrodes (Fz, FCz), consistent with an anterior cingulate cortex generator (van Veen &amp; Carter, 2002).</w:t>
      </w:r>
    </w:p>
    <w:p>
      <w:pPr>
        <w:jc w:val="left"/>
        <w:spacing w:before="0" w:after="120" w:line="480" w:lineRule="auto"/>
      </w:pPr>
      <w:r>
        <w:rPr>
          <w:rFonts w:ascii="Times New Roman" w:hAnsi="Times New Roman"/>
          <w:b/>
          <w:i w:val="0"/>
          <w:sz w:val="24"/>
        </w:rPr>
        <w:t>Wienke et al. (2024)</w:t>
      </w:r>
      <w:r>
        <w:rPr>
          <w:rFonts w:ascii="Times New Roman" w:hAnsi="Times New Roman"/>
          <w:b w:val="0"/>
          <w:i w:val="0"/>
          <w:sz w:val="24"/>
        </w:rPr>
        <w:t xml:space="preserve"> provides the review's only negative finding. This study examined ERP responses to auditory oddball stimuli (mismatch negativity paradigm) in 255 infants (aged 6–14 months) in Germany. The sample included both infants from families where German was the primary language and infants from migrant families with diverse linguistic backgrounds; parental education was a continuous covariate in a composite SES model. Children of lower-educated parents did not show reduced ERP differentiation in the expected direction; rather, they exhibited more positive-going ERP amplitudes, reflecting </w:t>
      </w:r>
      <w:r>
        <w:rPr>
          <w:rFonts w:ascii="Times New Roman" w:hAnsi="Times New Roman"/>
          <w:b w:val="0"/>
          <w:i/>
          <w:sz w:val="24"/>
        </w:rPr>
        <w:t>less</w:t>
      </w:r>
      <w:r>
        <w:rPr>
          <w:rFonts w:ascii="Times New Roman" w:hAnsi="Times New Roman"/>
          <w:b w:val="0"/>
          <w:i w:val="0"/>
          <w:sz w:val="24"/>
        </w:rPr>
        <w:t xml:space="preserve"> neural differentiation between standard and deviant stimuli (</w:t>
      </w:r>
      <w:r>
        <w:rPr>
          <w:rFonts w:ascii="Times New Roman" w:hAnsi="Times New Roman"/>
          <w:b w:val="0"/>
          <w:i/>
          <w:sz w:val="24"/>
        </w:rPr>
        <w:t>F</w:t>
      </w:r>
      <w:r>
        <w:rPr>
          <w:rFonts w:ascii="Times New Roman" w:hAnsi="Times New Roman"/>
          <w:b w:val="0"/>
          <w:i w:val="0"/>
          <w:sz w:val="24"/>
        </w:rPr>
        <w:t xml:space="preserve">(3, 250) = 2.7, </w:t>
      </w:r>
      <w:r>
        <w:rPr>
          <w:rFonts w:ascii="Times New Roman" w:hAnsi="Times New Roman"/>
          <w:b w:val="0"/>
          <w:i/>
          <w:sz w:val="24"/>
        </w:rPr>
        <w:t>p</w:t>
      </w:r>
      <w:r>
        <w:rPr>
          <w:rFonts w:ascii="Times New Roman" w:hAnsi="Times New Roman"/>
          <w:b w:val="0"/>
          <w:i w:val="0"/>
          <w:sz w:val="24"/>
        </w:rPr>
        <w:t xml:space="preserve"> = .049). This pattern is inconsistent with the expected direction—where larger MMN or more negative responses indicate more mature auditory discrimination—and is interpretable in light of the study's sample characteristics. The migrant sub-sample, which overlapped substantially with the low-education group, showed distinct auditory exposure profiles (multilingual input, variable prosodic environments) relative to the monolingual German majority. Thus, the "negative" direction likely reflects a complex interaction between parental education, migration background, and linguistic environment, rather than straightforward neural attenuation. The authors themselves caution against interpreting this result as evidence that low parental education universally impairs early auditory neural processing.</w:t>
      </w:r>
    </w:p>
    <w:p>
      <w:pPr>
        <w:pStyle w:val="Heading2"/>
        <w:spacing w:before="200" w:after="40" w:line="360" w:lineRule="auto"/>
      </w:pPr>
      <w:r>
        <w:rPr>
          <w:rFonts w:ascii="Times New Roman" w:hAnsi="Times New Roman"/>
          <w:b/>
          <w:sz w:val="26"/>
        </w:rPr>
        <w:t>3.4 Functional near-infrared spectroscopy evidence</w:t>
      </w:r>
    </w:p>
    <w:p>
      <w:pPr>
        <w:jc w:val="left"/>
        <w:spacing w:before="0" w:after="120" w:line="480" w:lineRule="auto"/>
      </w:pPr>
      <w:r>
        <w:rPr>
          <w:rFonts w:ascii="Times New Roman" w:hAnsi="Times New Roman"/>
          <w:b w:val="0"/>
          <w:i w:val="0"/>
          <w:sz w:val="24"/>
        </w:rPr>
        <w:t>One study used fNIRS to examine the association between parental education and neural responses to a cognitive task in young children.</w:t>
      </w:r>
    </w:p>
    <w:p>
      <w:pPr>
        <w:jc w:val="left"/>
        <w:spacing w:before="0" w:after="120" w:line="480" w:lineRule="auto"/>
      </w:pPr>
      <w:r>
        <w:rPr>
          <w:rFonts w:ascii="Times New Roman" w:hAnsi="Times New Roman"/>
          <w:b/>
          <w:i w:val="0"/>
          <w:sz w:val="24"/>
        </w:rPr>
        <w:t>Wijeakumar et al. (2019)</w:t>
      </w:r>
      <w:r>
        <w:rPr>
          <w:rFonts w:ascii="Times New Roman" w:hAnsi="Times New Roman"/>
          <w:b w:val="0"/>
          <w:i w:val="0"/>
          <w:sz w:val="24"/>
        </w:rPr>
        <w:t xml:space="preserve"> compared prefrontal cortical activation during a spatial working memory task in two culturally distinct samples: 20 low-SES children from rural India (aged 5–8 years) and 15 middle-to-high SES children from the United States (aged 5–8 years). Maternal education was operationalized as the primary exposure variable and analyzed as an independent predictor across the combined sample (</w:t>
      </w:r>
      <w:r>
        <w:rPr>
          <w:rFonts w:ascii="Times New Roman" w:hAnsi="Times New Roman"/>
          <w:b w:val="0"/>
          <w:i/>
          <w:sz w:val="24"/>
        </w:rPr>
        <w:t>N</w:t>
      </w:r>
      <w:r>
        <w:rPr>
          <w:rFonts w:ascii="Times New Roman" w:hAnsi="Times New Roman"/>
          <w:b w:val="0"/>
          <w:i w:val="0"/>
          <w:sz w:val="24"/>
        </w:rPr>
        <w:t xml:space="preserve"> = 35). fNIRS data revealed that children of more highly educated mothers showed significantly greater activation in the inferior frontal gyrus (IFG) during working memory trials (</w:t>
      </w:r>
      <w:r>
        <w:rPr>
          <w:rFonts w:ascii="Times New Roman" w:hAnsi="Times New Roman"/>
          <w:b w:val="0"/>
          <w:i/>
          <w:sz w:val="24"/>
        </w:rPr>
        <w:t>F</w:t>
      </w:r>
      <w:r>
        <w:rPr>
          <w:rFonts w:ascii="Times New Roman" w:hAnsi="Times New Roman"/>
          <w:b w:val="0"/>
          <w:i w:val="0"/>
          <w:sz w:val="24"/>
        </w:rPr>
        <w:t xml:space="preserve">(1, 33) = 5.594, </w:t>
      </w:r>
      <w:r>
        <w:rPr>
          <w:rFonts w:ascii="Times New Roman" w:hAnsi="Times New Roman"/>
          <w:b w:val="0"/>
          <w:i/>
          <w:sz w:val="24"/>
        </w:rPr>
        <w:t>p</w:t>
      </w:r>
      <w:r>
        <w:rPr>
          <w:rFonts w:ascii="Times New Roman" w:hAnsi="Times New Roman"/>
          <w:b w:val="0"/>
          <w:i w:val="0"/>
          <w:sz w:val="24"/>
        </w:rPr>
        <w:t xml:space="preserve"> &lt; .05). This finding is notable for two reasons. First, IFG activation during spatial working memory tasks indexes the capacity to maintain and manipulate visuospatial representations—a precursor to later executive function competencies. Second, the cross-cultural design, while limiting direct inference about any single population, demonstrates that the maternal education–prefrontal activation association generalizes across substantially different socioeconomic and cultural contexts, arguing against it being a purely Western, high-income-country phenomenon. The study was constrained by a small combined sample (</w:t>
      </w:r>
      <w:r>
        <w:rPr>
          <w:rFonts w:ascii="Times New Roman" w:hAnsi="Times New Roman"/>
          <w:b w:val="0"/>
          <w:i/>
          <w:sz w:val="24"/>
        </w:rPr>
        <w:t>N</w:t>
      </w:r>
      <w:r>
        <w:rPr>
          <w:rFonts w:ascii="Times New Roman" w:hAnsi="Times New Roman"/>
          <w:b w:val="0"/>
          <w:i w:val="0"/>
          <w:sz w:val="24"/>
        </w:rPr>
        <w:t xml:space="preserve"> = 35), and the education effect is better interpreted as a within-country association than a between-country contrast given the large confound of cultural context in the cross-cultural comparison. Given that only a single fNIRS study met inclusion criteria, these findings should be considered preliminary and require independent replication before strong conclusions can be drawn.</w:t>
      </w:r>
    </w:p>
    <w:p>
      <w:pPr>
        <w:pStyle w:val="Heading2"/>
        <w:spacing w:before="200" w:after="40" w:line="360" w:lineRule="auto"/>
      </w:pPr>
      <w:r>
        <w:rPr>
          <w:rFonts w:ascii="Times New Roman" w:hAnsi="Times New Roman"/>
          <w:b/>
          <w:sz w:val="26"/>
        </w:rPr>
        <w:t>3.5 Neuroimaging evidence: structural MRI, functional MRI, and diffusion tensor imaging</w:t>
      </w:r>
    </w:p>
    <w:p>
      <w:pPr>
        <w:jc w:val="left"/>
        <w:spacing w:before="0" w:after="120" w:line="480" w:lineRule="auto"/>
      </w:pPr>
      <w:r>
        <w:rPr>
          <w:rFonts w:ascii="Times New Roman" w:hAnsi="Times New Roman"/>
          <w:b w:val="0"/>
          <w:i w:val="0"/>
          <w:sz w:val="24"/>
        </w:rPr>
        <w:t>Eleven studies used structural or functional neuroimaging methods, organized below by modality.</w:t>
      </w:r>
    </w:p>
    <w:p>
      <w:pPr>
        <w:pStyle w:val="Heading3"/>
        <w:spacing w:before="160" w:after="40" w:line="360" w:lineRule="auto"/>
      </w:pPr>
      <w:r>
        <w:rPr>
          <w:rFonts w:ascii="Times New Roman" w:hAnsi="Times New Roman"/>
          <w:b/>
          <w:sz w:val="24"/>
        </w:rPr>
        <w:t>3.5.1 Structural MRI</w:t>
      </w:r>
    </w:p>
    <w:p>
      <w:pPr>
        <w:jc w:val="left"/>
        <w:spacing w:before="0" w:after="120" w:line="480" w:lineRule="auto"/>
      </w:pPr>
      <w:r>
        <w:rPr>
          <w:rFonts w:ascii="Times New Roman" w:hAnsi="Times New Roman"/>
          <w:b w:val="0"/>
          <w:i w:val="0"/>
          <w:sz w:val="24"/>
        </w:rPr>
        <w:t>Five studies examined associations between parental education and macroscopic brain structure, including cortical surface area, subcortical volumes, and cerebellar morphometry.</w:t>
      </w:r>
    </w:p>
    <w:p>
      <w:pPr>
        <w:jc w:val="left"/>
        <w:spacing w:before="0" w:after="120" w:line="480" w:lineRule="auto"/>
      </w:pPr>
      <w:r>
        <w:rPr>
          <w:rFonts w:ascii="Times New Roman" w:hAnsi="Times New Roman"/>
          <w:b/>
          <w:i w:val="0"/>
          <w:sz w:val="24"/>
        </w:rPr>
        <w:t>McKinnon et al. (2023)</w:t>
      </w:r>
      <w:r>
        <w:rPr>
          <w:rFonts w:ascii="Times New Roman" w:hAnsi="Times New Roman"/>
          <w:b w:val="0"/>
          <w:i w:val="0"/>
          <w:sz w:val="24"/>
        </w:rPr>
        <w:t xml:space="preserve"> conducted the earliest-age structural MRI study in this review, assessing neonatal brain morphology at term-equivalent age in a cohort of 261 infants in the United Kingdom—170 extremely and very preterm infants (born &lt;33 weeks) and 91 full-term or near-term controls. Maternal education (university degree vs. lower) was included as a family-level SES exposure in exploratory analyses. Higher maternal education was independently associated with larger regional brain volumes across four parcels (left and right cerebella, left middle superior temporal gyrus, left anterior lateral occipitotemporal gyrus; </w:t>
      </w:r>
      <w:r>
        <w:rPr>
          <w:rFonts w:ascii="Times New Roman" w:hAnsi="Times New Roman"/>
          <w:b w:val="0"/>
          <w:i/>
          <w:sz w:val="24"/>
        </w:rPr>
        <w:t>β</w:t>
      </w:r>
      <w:r>
        <w:rPr>
          <w:rFonts w:ascii="Times New Roman" w:hAnsi="Times New Roman"/>
          <w:b w:val="0"/>
          <w:i w:val="0"/>
          <w:sz w:val="24"/>
        </w:rPr>
        <w:t xml:space="preserve"> range 0.09–0.15, all 261 infants after FDR correction and adjustment for gestational age at birth). Because all infants were assessed at or near term-equivalent age, before the accumulation of substantial independent learning experience, this finding is consistent with both prenatal and early postnatal environmental influences. This is the highest-quality study in the review (NOS = 9), and its demonstration that maternal education associations with brain structure are detectable alongside gestational age effects—even in a preterm-enriched sample—provides evidence for an early-emerging pathway from maternal education to neural structure that is not reducible to gestational maturity alone.</w:t>
      </w:r>
    </w:p>
    <w:p>
      <w:pPr>
        <w:jc w:val="left"/>
        <w:spacing w:before="0" w:after="120" w:line="480" w:lineRule="auto"/>
      </w:pPr>
      <w:r>
        <w:rPr>
          <w:rFonts w:ascii="Times New Roman" w:hAnsi="Times New Roman"/>
          <w:b/>
          <w:i w:val="0"/>
          <w:sz w:val="24"/>
        </w:rPr>
        <w:t>Konrad et al. (2024)</w:t>
      </w:r>
      <w:r>
        <w:rPr>
          <w:rFonts w:ascii="Times New Roman" w:hAnsi="Times New Roman"/>
          <w:b w:val="0"/>
          <w:i w:val="0"/>
          <w:sz w:val="24"/>
        </w:rPr>
        <w:t xml:space="preserve"> examined hippocampal development in a longitudinal cohort of 162 very preterm neonates (</w:t>
      </w:r>
      <w:r>
        <w:rPr>
          <w:rFonts w:ascii="Times New Roman" w:hAnsi="Times New Roman"/>
          <w:b w:val="0"/>
          <w:i/>
          <w:sz w:val="24"/>
        </w:rPr>
        <w:t>N</w:t>
      </w:r>
      <w:r>
        <w:rPr>
          <w:rFonts w:ascii="Times New Roman" w:hAnsi="Times New Roman"/>
          <w:b w:val="0"/>
          <w:i w:val="0"/>
          <w:sz w:val="24"/>
        </w:rPr>
        <w:t xml:space="preserve"> = 162 with SES data; 126 with 18-month cognitive outcome) recruited at the Hospital for Sick Children, Toronto, Canada, and Children's Hospital Dritter Orden, Munich, Germany. Structural and resting-state functional MRI were acquired at two time points: early-in-life (median PMA 32.9 weeks) and at term-equivalent age (median PMA 41.1 weeks). Maternal education (categorical: high school / college–undergraduate / postgraduate) was the primary SES measure. Contrary to a simple main-effect model, maternal education did not predict neonatal hippocampal volume per se. Instead, maternal education moderated the association between anterior hippocampal volume and 18-month Bayley-III cognitive scores (</w:t>
      </w:r>
      <w:r>
        <w:rPr>
          <w:rFonts w:ascii="Times New Roman" w:hAnsi="Times New Roman"/>
          <w:b w:val="0"/>
          <w:i/>
          <w:sz w:val="24"/>
        </w:rPr>
        <w:t>p</w:t>
      </w:r>
      <w:r>
        <w:rPr>
          <w:rFonts w:ascii="Times New Roman" w:hAnsi="Times New Roman"/>
          <w:b w:val="0"/>
          <w:i w:val="0"/>
          <w:sz w:val="24"/>
        </w:rPr>
        <w:t xml:space="preserve"> = .005 for the interaction) and between hippocampal functional connectivity and cognitive outcome (</w:t>
      </w:r>
      <w:r>
        <w:rPr>
          <w:rFonts w:ascii="Times New Roman" w:hAnsi="Times New Roman"/>
          <w:b w:val="0"/>
          <w:i/>
          <w:sz w:val="24"/>
        </w:rPr>
        <w:t>p</w:t>
      </w:r>
      <w:r>
        <w:rPr>
          <w:rFonts w:ascii="Times New Roman" w:hAnsi="Times New Roman"/>
          <w:b w:val="0"/>
          <w:i w:val="0"/>
          <w:sz w:val="24"/>
        </w:rPr>
        <w:t xml:space="preserve"> = .05 for the interaction). Critically, the positive relationship between larger hippocampal volume and higher cognition was present specifically in the </w:t>
      </w:r>
      <w:r>
        <w:rPr>
          <w:rFonts w:ascii="Times New Roman" w:hAnsi="Times New Roman"/>
          <w:b/>
          <w:i w:val="0"/>
          <w:sz w:val="24"/>
        </w:rPr>
        <w:t>lowest</w:t>
      </w:r>
      <w:r>
        <w:rPr>
          <w:rFonts w:ascii="Times New Roman" w:hAnsi="Times New Roman"/>
          <w:b w:val="0"/>
          <w:i w:val="0"/>
          <w:sz w:val="24"/>
        </w:rPr>
        <w:t>-SES group (high school degree), not in higher-educated groups. This counterintuitive pattern may reflect that for infants of higher-educated parents, other environmental resources buffer cognition sufficiently that hippocampal size is no longer the limiting factor; in the most disadvantaged group, hippocampal integrity becomes a more proximal determinant of outcome. Because this is a preterm-only sample assessed within the NICU period, the findings complement but are not directly comparable to studies of term-born children; NICU-related stressors and parental involvement during hospitalization may constitute additional pathways through which maternal education influences neonatal hippocampal-cognitive coupling in this population.</w:t>
      </w:r>
    </w:p>
    <w:p>
      <w:pPr>
        <w:jc w:val="left"/>
        <w:spacing w:before="0" w:after="120" w:line="480" w:lineRule="auto"/>
      </w:pPr>
      <w:r>
        <w:rPr>
          <w:rFonts w:ascii="Times New Roman" w:hAnsi="Times New Roman"/>
          <w:b/>
          <w:i w:val="0"/>
          <w:sz w:val="24"/>
        </w:rPr>
        <w:t>Stiver et al. (2015)</w:t>
      </w:r>
      <w:r>
        <w:rPr>
          <w:rFonts w:ascii="Times New Roman" w:hAnsi="Times New Roman"/>
          <w:b w:val="0"/>
          <w:i w:val="0"/>
          <w:sz w:val="24"/>
        </w:rPr>
        <w:t xml:space="preserve"> followed 26 very preterm infants (born &lt;32 weeks gestational age) longitudinally from NICU admission at the Hospital for Sick Children, Toronto, Canada, acquiring structural MRI at term-equivalent age and again at corrected age 2 years. Parental education (categorical: postsecondary vs. no postsecondary) predicted cerebellar growth trajectory, with infants of higher-educated parents showing significantly greater cerebellar volume increase between assessments (</w:t>
      </w:r>
      <w:r>
        <w:rPr>
          <w:rFonts w:ascii="Times New Roman" w:hAnsi="Times New Roman"/>
          <w:b w:val="0"/>
          <w:i/>
          <w:sz w:val="24"/>
        </w:rPr>
        <w:t>p</w:t>
      </w:r>
      <w:r>
        <w:rPr>
          <w:rFonts w:ascii="Times New Roman" w:hAnsi="Times New Roman"/>
          <w:b w:val="0"/>
          <w:i w:val="0"/>
          <w:sz w:val="24"/>
        </w:rPr>
        <w:t xml:space="preserve"> = .006). The longitudinal design strengthens causal inference relative to cross-sectional studies, and the finding that parental education predicts accelerated cerebellar recovery in this high-risk preterm cohort suggests that the home environment can partially buffer the neurological consequences of premature birth. Readers should note that, because this is a preterm-only sample, the cerebellar effects may partly reflect education-associated variation in NICU care quality and parental involvement rather than the same mechanisms operating in typically developing term-born children.</w:t>
      </w:r>
    </w:p>
    <w:p>
      <w:pPr>
        <w:jc w:val="left"/>
        <w:spacing w:before="0" w:after="120" w:line="480" w:lineRule="auto"/>
      </w:pPr>
      <w:r>
        <w:rPr>
          <w:rFonts w:ascii="Times New Roman" w:hAnsi="Times New Roman"/>
          <w:b/>
          <w:i w:val="0"/>
          <w:sz w:val="24"/>
        </w:rPr>
        <w:t>Zhu et al. (2023)</w:t>
      </w:r>
      <w:r>
        <w:rPr>
          <w:rFonts w:ascii="Times New Roman" w:hAnsi="Times New Roman"/>
          <w:b w:val="0"/>
          <w:i w:val="0"/>
          <w:sz w:val="24"/>
        </w:rPr>
        <w:t xml:space="preserve"> analyzed data from a multinational longitudinal cohort (United States, United Kingdom, Norway; </w:t>
      </w:r>
      <w:r>
        <w:rPr>
          <w:rFonts w:ascii="Times New Roman" w:hAnsi="Times New Roman"/>
          <w:b w:val="0"/>
          <w:i/>
          <w:sz w:val="24"/>
        </w:rPr>
        <w:t>N</w:t>
      </w:r>
      <w:r>
        <w:rPr>
          <w:rFonts w:ascii="Times New Roman" w:hAnsi="Times New Roman"/>
          <w:b w:val="0"/>
          <w:i w:val="0"/>
          <w:sz w:val="24"/>
        </w:rPr>
        <w:t xml:space="preserve"> = 373), examining trajectories of cortical and subcortical brain development from birth through 8 years. Parental education (continuous years of schooling) was associated with brain morphology trajectories using an energy distance metric sensitive to distributional differences across the full age range (</w:t>
      </w:r>
      <w:r>
        <w:rPr>
          <w:rFonts w:ascii="Times New Roman" w:hAnsi="Times New Roman"/>
          <w:b w:val="0"/>
          <w:i/>
          <w:sz w:val="24"/>
        </w:rPr>
        <w:t>p</w:t>
      </w:r>
      <w:r>
        <w:rPr>
          <w:rFonts w:ascii="Times New Roman" w:hAnsi="Times New Roman"/>
          <w:b w:val="0"/>
          <w:i w:val="0"/>
          <w:sz w:val="24"/>
        </w:rPr>
        <w:t xml:space="preserve"> = .033). This is the largest sample in the review and the only study to use a multisite, multi-country longitudinal design, substantially increasing generalizability. The energy distance approach avoids assumptions about linear associations and captures non-linear developmental trajectories—a methodological strength when studying rapidly changing developmental phenomena.</w:t>
      </w:r>
    </w:p>
    <w:p>
      <w:pPr>
        <w:jc w:val="left"/>
        <w:spacing w:before="0" w:after="120" w:line="480" w:lineRule="auto"/>
      </w:pPr>
      <w:r>
        <w:rPr>
          <w:rFonts w:ascii="Times New Roman" w:hAnsi="Times New Roman"/>
          <w:b w:val="0"/>
          <w:i w:val="0"/>
          <w:sz w:val="24"/>
        </w:rPr>
        <w:t xml:space="preserve">One study warrants separate consideration. </w:t>
      </w:r>
      <w:r>
        <w:rPr>
          <w:rFonts w:ascii="Times New Roman" w:hAnsi="Times New Roman"/>
          <w:b/>
          <w:i w:val="0"/>
          <w:sz w:val="24"/>
        </w:rPr>
        <w:t>Lange et al. (2010)</w:t>
      </w:r>
      <w:r>
        <w:rPr>
          <w:rFonts w:ascii="Times New Roman" w:hAnsi="Times New Roman"/>
          <w:b w:val="0"/>
          <w:i w:val="0"/>
          <w:sz w:val="24"/>
        </w:rPr>
        <w:t xml:space="preserve"> examined 309 children aged 4–18 years in the United Kingdom and reported that parental education was the strongest independent predictor of verbal IQ, with children of university-educated parents scoring 14–15 points higher than those of high-school-educated parents (</w:t>
      </w:r>
      <w:r>
        <w:rPr>
          <w:rFonts w:ascii="Times New Roman" w:hAnsi="Times New Roman"/>
          <w:b w:val="0"/>
          <w:i/>
          <w:sz w:val="24"/>
        </w:rPr>
        <w:t>p</w:t>
      </w:r>
      <w:r>
        <w:rPr>
          <w:rFonts w:ascii="Times New Roman" w:hAnsi="Times New Roman"/>
          <w:b w:val="0"/>
          <w:i w:val="0"/>
          <w:sz w:val="24"/>
        </w:rPr>
        <w:t xml:space="preserve"> &lt; .00001). Structural brain volume was included in the model as a covariate rather than as the primary outcome. Total brain volume did not mediate the parental education–IQ association, suggesting that the educational advantage operates through functional or experiential pathways beyond gross structural differences. Given its indirect neural evidence (brain volume as covariate rather than outcome), findings from Lange et al. (2010) are interpreted here as consistent with but not directly constituting a parental education–brain structure effect.</w:t>
      </w:r>
    </w:p>
    <w:p>
      <w:pPr>
        <w:pStyle w:val="Heading3"/>
        <w:spacing w:before="160" w:after="40" w:line="360" w:lineRule="auto"/>
      </w:pPr>
      <w:r>
        <w:rPr>
          <w:rFonts w:ascii="Times New Roman" w:hAnsi="Times New Roman"/>
          <w:b/>
          <w:sz w:val="24"/>
        </w:rPr>
        <w:t>3.5.2 Functional MRI</w:t>
      </w:r>
    </w:p>
    <w:p>
      <w:pPr>
        <w:jc w:val="left"/>
        <w:spacing w:before="0" w:after="120" w:line="480" w:lineRule="auto"/>
      </w:pPr>
      <w:r>
        <w:rPr>
          <w:rFonts w:ascii="Times New Roman" w:hAnsi="Times New Roman"/>
          <w:b w:val="0"/>
          <w:i w:val="0"/>
          <w:sz w:val="24"/>
        </w:rPr>
        <w:t>Two studies used fMRI to examine task-evoked activation or resting-state functional connectivity.</w:t>
      </w:r>
    </w:p>
    <w:p>
      <w:pPr>
        <w:jc w:val="left"/>
        <w:spacing w:before="0" w:after="120" w:line="480" w:lineRule="auto"/>
      </w:pPr>
      <w:r>
        <w:rPr>
          <w:rFonts w:ascii="Times New Roman" w:hAnsi="Times New Roman"/>
          <w:b/>
          <w:i w:val="0"/>
          <w:sz w:val="24"/>
        </w:rPr>
        <w:t>Ramphal et al. (2020)</w:t>
      </w:r>
      <w:r>
        <w:rPr>
          <w:rFonts w:ascii="Times New Roman" w:hAnsi="Times New Roman"/>
          <w:b w:val="0"/>
          <w:i w:val="0"/>
          <w:sz w:val="24"/>
        </w:rPr>
        <w:t xml:space="preserve"> assessed neonatal functional brain connectivity in 112 newborns in the United States and followed them longitudinally to 2 years of age. Parental education (composite-separable) was associated with neonatal amygdala–prefrontal connectivity at birth (regression coefficient 95% CI [−0.81, −0.06]), with higher parental education predicting stronger negative coupling between the amygdala and medial prefrontal cortex. Stronger amygdala–prefrontal anticorrelation in neonates is associated with better emotion regulation capacity in early childhood (Gee et al., 2013). The fact that this association was detectable in newborns, before postnatal environmental experience accrues, again implicates prenatal mechanisms. The study's longitudinal design—linking neonatal neural organization to toddler-age behavioral outcomes—provides some of the most compelling evidence in the review for a developmental pathway from parental education through early brain organization to later cognitive-emotional development.</w:t>
      </w:r>
    </w:p>
    <w:p>
      <w:pPr>
        <w:jc w:val="left"/>
        <w:spacing w:before="0" w:after="120" w:line="480" w:lineRule="auto"/>
      </w:pPr>
      <w:r>
        <w:rPr>
          <w:rFonts w:ascii="Times New Roman" w:hAnsi="Times New Roman"/>
          <w:b/>
          <w:i w:val="0"/>
          <w:sz w:val="24"/>
        </w:rPr>
        <w:t>Demir-Lira et al. (2021)</w:t>
      </w:r>
      <w:r>
        <w:rPr>
          <w:rFonts w:ascii="Times New Roman" w:hAnsi="Times New Roman"/>
          <w:b w:val="0"/>
          <w:i w:val="0"/>
          <w:sz w:val="24"/>
        </w:rPr>
        <w:t xml:space="preserve"> examined fMRI activation during a deductive reasoning task in 42 children aged 6–13 years in the United States. Parental education (years of schooling) independently predicted activation in left inferior frontal gyrus (IFG) during the reasoning task after small-volume correction (</w:t>
      </w:r>
      <w:r>
        <w:rPr>
          <w:rFonts w:ascii="Times New Roman" w:hAnsi="Times New Roman"/>
          <w:b w:val="0"/>
          <w:i/>
          <w:sz w:val="24"/>
        </w:rPr>
        <w:t>p</w:t>
      </w:r>
      <w:r>
        <w:rPr>
          <w:rFonts w:ascii="Times New Roman" w:hAnsi="Times New Roman"/>
          <w:b w:val="0"/>
          <w:i w:val="0"/>
          <w:sz w:val="24"/>
        </w:rPr>
        <w:t xml:space="preserve"> &lt; .05, SVC). Left IFG—encompassing Broca's area and adjacent lateral prefrontal cortex—supports both language processing and logical inference; its activation during deductive reasoning in school-age children reflects the integration of language and relational reasoning capacities that develop through cognitively stimulating home environments. The finding that parental education, independently of other SES indicators, predicts left IFG recruitment during reasoning is consistent with a pathway from educationally enriched home environments to more mature prefrontal engagement during complex cognitive operations. The relatively small sample (</w:t>
      </w:r>
      <w:r>
        <w:rPr>
          <w:rFonts w:ascii="Times New Roman" w:hAnsi="Times New Roman"/>
          <w:b w:val="0"/>
          <w:i/>
          <w:sz w:val="24"/>
        </w:rPr>
        <w:t>N</w:t>
      </w:r>
      <w:r>
        <w:rPr>
          <w:rFonts w:ascii="Times New Roman" w:hAnsi="Times New Roman"/>
          <w:b w:val="0"/>
          <w:i w:val="0"/>
          <w:sz w:val="24"/>
        </w:rPr>
        <w:t xml:space="preserve"> = 42) and the older age range (some children exceeding the 0–8 year target window) limit the generalizability of this finding to the core developmental period under review. Given that only two fMRI studies met inclusion criteria, and that these two studies examined structurally distinct neural phenomena (resting-state neonatal connectivity vs. task-evoked prefrontal activation in school-age children), findings from this modality should be treated as preliminary signals rather than established evidence.</w:t>
      </w:r>
    </w:p>
    <w:p>
      <w:pPr>
        <w:pStyle w:val="Heading3"/>
        <w:spacing w:before="160" w:after="40" w:line="360" w:lineRule="auto"/>
      </w:pPr>
      <w:r>
        <w:rPr>
          <w:rFonts w:ascii="Times New Roman" w:hAnsi="Times New Roman"/>
          <w:b/>
          <w:sz w:val="24"/>
        </w:rPr>
        <w:t>3.5.3 Diffusion tensor imaging</w:t>
      </w:r>
    </w:p>
    <w:p>
      <w:pPr>
        <w:jc w:val="left"/>
        <w:spacing w:before="0" w:after="120" w:line="480" w:lineRule="auto"/>
      </w:pPr>
      <w:r>
        <w:rPr>
          <w:rFonts w:ascii="Times New Roman" w:hAnsi="Times New Roman"/>
          <w:b w:val="0"/>
          <w:i w:val="0"/>
          <w:sz w:val="24"/>
        </w:rPr>
        <w:t>Three studies used DTI to examine white matter microstructure, assessed via fractional anisotropy (FA), a marker of axonal organization and myelination.</w:t>
      </w:r>
    </w:p>
    <w:p>
      <w:pPr>
        <w:jc w:val="left"/>
        <w:spacing w:before="0" w:after="120" w:line="480" w:lineRule="auto"/>
      </w:pPr>
      <w:r>
        <w:rPr>
          <w:rFonts w:ascii="Times New Roman" w:hAnsi="Times New Roman"/>
          <w:b/>
          <w:i w:val="0"/>
          <w:sz w:val="24"/>
        </w:rPr>
        <w:t>Turesky et al. (2022)</w:t>
      </w:r>
      <w:r>
        <w:rPr>
          <w:rFonts w:ascii="Times New Roman" w:hAnsi="Times New Roman"/>
          <w:b w:val="0"/>
          <w:i w:val="0"/>
          <w:sz w:val="24"/>
        </w:rPr>
        <w:t xml:space="preserve"> examined white matter microstructure in 38 infants at approximately 8.6 months of age in the United States. Maternal education (years of schooling) was positively correlated with FA in the arcuate fasciculus—the white matter tract connecting Broca's and Wernicke's language areas (Catani &amp; Mesulam, 2008; Friederici, 2016)—(</w:t>
      </w:r>
      <w:r>
        <w:rPr>
          <w:rFonts w:ascii="Times New Roman" w:hAnsi="Times New Roman"/>
          <w:b w:val="0"/>
          <w:i/>
          <w:sz w:val="24"/>
        </w:rPr>
        <w:t>r</w:t>
      </w:r>
      <w:r>
        <w:rPr>
          <w:rFonts w:ascii="Times New Roman" w:hAnsi="Times New Roman"/>
          <w:b w:val="0"/>
          <w:i w:val="0"/>
          <w:sz w:val="24"/>
        </w:rPr>
        <w:t xml:space="preserve"> = 0.48, </w:t>
      </w:r>
      <w:r>
        <w:rPr>
          <w:rFonts w:ascii="Times New Roman" w:hAnsi="Times New Roman"/>
          <w:b w:val="0"/>
          <w:i/>
          <w:sz w:val="24"/>
        </w:rPr>
        <w:t>p</w:t>
      </w:r>
      <w:r>
        <w:rPr>
          <w:rFonts w:ascii="Times New Roman" w:hAnsi="Times New Roman"/>
          <w:b w:val="0"/>
          <w:i w:val="0"/>
          <w:sz w:val="24"/>
        </w:rPr>
        <w:t xml:space="preserve"> &lt; .05). The arcuate fasciculus is a key substrate of phonological processing and early language acquisition; higher FA in this tract at 8–9 months, predicting later reading readiness, has been reported in independent samples (Yeatman et al., 2012). The fact that maternal education is associated with arcuate FA as early as 8 months suggests that the home language environment—which differs systematically with maternal education—is associated with white matter organization within the first year of life.</w:t>
      </w:r>
    </w:p>
    <w:p>
      <w:pPr>
        <w:jc w:val="left"/>
        <w:spacing w:before="0" w:after="120" w:line="480" w:lineRule="auto"/>
      </w:pPr>
      <w:r>
        <w:rPr>
          <w:rFonts w:ascii="Times New Roman" w:hAnsi="Times New Roman"/>
          <w:b/>
          <w:i w:val="0"/>
          <w:sz w:val="24"/>
        </w:rPr>
        <w:t>Ozernov-Palchik et al. (2019)</w:t>
      </w:r>
      <w:r>
        <w:rPr>
          <w:rFonts w:ascii="Times New Roman" w:hAnsi="Times New Roman"/>
          <w:b w:val="0"/>
          <w:i w:val="0"/>
          <w:sz w:val="24"/>
        </w:rPr>
        <w:t xml:space="preserve"> examined white matter microstructure in 125 children aged 5–8 years in the United States using a comprehensive DTI battery covering multiple long-range association tracts. Higher parental education was associated with greater FA in the left arcuate fasciculus and the superior longitudinal fasciculus (</w:t>
      </w:r>
      <w:r>
        <w:rPr>
          <w:rFonts w:ascii="Times New Roman" w:hAnsi="Times New Roman"/>
          <w:b w:val="0"/>
          <w:i/>
          <w:sz w:val="24"/>
        </w:rPr>
        <w:t>r</w:t>
      </w:r>
      <w:r>
        <w:rPr>
          <w:rFonts w:ascii="Times New Roman" w:hAnsi="Times New Roman"/>
          <w:b w:val="0"/>
          <w:i w:val="0"/>
          <w:sz w:val="24"/>
        </w:rPr>
        <w:t xml:space="preserve"> = 0.33, </w:t>
      </w:r>
      <w:r>
        <w:rPr>
          <w:rFonts w:ascii="Times New Roman" w:hAnsi="Times New Roman"/>
          <w:b w:val="0"/>
          <w:i/>
          <w:sz w:val="24"/>
        </w:rPr>
        <w:t>p</w:t>
      </w:r>
      <w:r>
        <w:rPr>
          <w:rFonts w:ascii="Times New Roman" w:hAnsi="Times New Roman"/>
          <w:b w:val="0"/>
          <w:i w:val="0"/>
          <w:sz w:val="24"/>
        </w:rPr>
        <w:t xml:space="preserve"> &lt; .001), tracts implicated in language processing and executive attention respectively. The study explicitly modeled parental education as a predictor of white matter </w:t>
      </w:r>
      <w:r>
        <w:rPr>
          <w:rFonts w:ascii="Times New Roman" w:hAnsi="Times New Roman"/>
          <w:b w:val="0"/>
          <w:i/>
          <w:sz w:val="24"/>
        </w:rPr>
        <w:t>independently</w:t>
      </w:r>
      <w:r>
        <w:rPr>
          <w:rFonts w:ascii="Times New Roman" w:hAnsi="Times New Roman"/>
          <w:b w:val="0"/>
          <w:i w:val="0"/>
          <w:sz w:val="24"/>
        </w:rPr>
        <w:t xml:space="preserve"> of household income, finding that education accounted for unique variance above and beyond financial resources. This dissociation between income and education effects on white matter is consistent with the view that parental education captures something qualitatively distinct from economic resources—most plausibly the quality and quantity of language input, book exposure, and learning-oriented interactions in the home.</w:t>
      </w:r>
    </w:p>
    <w:p>
      <w:pPr>
        <w:jc w:val="left"/>
        <w:spacing w:before="0" w:after="120" w:line="480" w:lineRule="auto"/>
      </w:pPr>
      <w:r>
        <w:rPr>
          <w:rFonts w:ascii="Times New Roman" w:hAnsi="Times New Roman"/>
          <w:b/>
          <w:i w:val="0"/>
          <w:sz w:val="24"/>
        </w:rPr>
        <w:t>Ursache &amp; Noble (2016)</w:t>
      </w:r>
      <w:r>
        <w:rPr>
          <w:rFonts w:ascii="Times New Roman" w:hAnsi="Times New Roman"/>
          <w:b w:val="0"/>
          <w:i w:val="0"/>
          <w:sz w:val="24"/>
        </w:rPr>
        <w:t xml:space="preserve"> examined DTI in 107 children spanning a wide age range (3–21 years) in the United States, with the primary analyses focusing on the 6–9 year subsample. Parental education (years of schooling) was associated with FA in frontal white matter tracts (</w:t>
      </w:r>
      <w:r>
        <w:rPr>
          <w:rFonts w:ascii="Times New Roman" w:hAnsi="Times New Roman"/>
          <w:b w:val="0"/>
          <w:i/>
          <w:sz w:val="24"/>
        </w:rPr>
        <w:t>p</w:t>
      </w:r>
      <w:r>
        <w:rPr>
          <w:rFonts w:ascii="Times New Roman" w:hAnsi="Times New Roman"/>
          <w:b w:val="0"/>
          <w:i w:val="0"/>
          <w:sz w:val="24"/>
        </w:rPr>
        <w:t xml:space="preserve"> = .001). A mediation analysis revealed that white matter integrity partially mediated the association between parental education and executive function performance, providing one of the few direct tests in this review of a parental education → brain structure → cognition pathway. The mediation was partial rather than complete, indicating that education affects executive function through both neural (white matter) and non-neural (e.g., direct skill scaffolding) mechanisms.</w:t>
      </w:r>
    </w:p>
    <w:p>
      <w:pPr>
        <w:jc w:val="left"/>
        <w:spacing w:before="0" w:after="120" w:line="480" w:lineRule="auto"/>
      </w:pPr>
      <w:r>
        <w:rPr>
          <w:rFonts w:ascii="Times New Roman" w:hAnsi="Times New Roman"/>
          <w:b w:val="0"/>
          <w:i w:val="0"/>
          <w:sz w:val="24"/>
        </w:rPr>
        <w:t>Across the three DTI studies, the arcuate fasciculus was implicated in two of three studies (Turesky et al., 2022; Ozernov-Palchik et al., 2019), suggesting that parental education associations with white matter are particularly concentrated in language-relevant circuitry. This is consistent with the hypothesis that the primary vehicle of educational advantage is linguistic—specifically, the quantity and quality of language directed at the child from birth.</w:t>
      </w:r>
    </w:p>
    <w:p>
      <w:pPr>
        <w:pStyle w:val="Heading2"/>
        <w:spacing w:before="200" w:after="40" w:line="360" w:lineRule="auto"/>
      </w:pPr>
      <w:r>
        <w:rPr>
          <w:rFonts w:ascii="Times New Roman" w:hAnsi="Times New Roman"/>
          <w:b/>
          <w:sz w:val="26"/>
        </w:rPr>
        <w:t>3.6 Candidate mechanisms: cognitive stimulation and chronic stress pathways</w:t>
      </w:r>
    </w:p>
    <w:p>
      <w:pPr>
        <w:jc w:val="left"/>
        <w:spacing w:before="0" w:after="120" w:line="480" w:lineRule="auto"/>
      </w:pPr>
      <w:r>
        <w:rPr>
          <w:rFonts w:ascii="Times New Roman" w:hAnsi="Times New Roman"/>
          <w:b w:val="0"/>
          <w:i w:val="0"/>
          <w:sz w:val="24"/>
        </w:rPr>
        <w:t>A consistent positive association between parental education and early neural development was observed across six modalities and a 0–15 year age range. The present section synthesizes evidence bearing on two non-mutually exclusive mechanistic pathways—cognitive stimulation and chronic stress reduction—that have been proposed to explain how parental education is transduced into neurobiological outcomes (Hackman et al., 2010).</w:t>
      </w:r>
    </w:p>
    <w:p>
      <w:pPr>
        <w:pStyle w:val="Heading3"/>
        <w:spacing w:before="160" w:after="40" w:line="360" w:lineRule="auto"/>
      </w:pPr>
      <w:r>
        <w:rPr>
          <w:rFonts w:ascii="Times New Roman" w:hAnsi="Times New Roman"/>
          <w:b/>
          <w:sz w:val="24"/>
        </w:rPr>
        <w:t>3.6.1 The cognitive stimulation pathway</w:t>
      </w:r>
    </w:p>
    <w:p>
      <w:pPr>
        <w:jc w:val="left"/>
        <w:spacing w:before="0" w:after="120" w:line="480" w:lineRule="auto"/>
      </w:pPr>
      <w:r>
        <w:rPr>
          <w:rFonts w:ascii="Times New Roman" w:hAnsi="Times New Roman"/>
          <w:b w:val="0"/>
          <w:i w:val="0"/>
          <w:sz w:val="24"/>
        </w:rPr>
        <w:t>The cognitive stimulation hypothesis proposes that more educated parents provide richer language input, engage in more frequent and cognitively demanding parent–child interactions, and maintain more literacy-oriented home environments—exposures proposed to support synaptic strengthening and myelination in developing neural circuits (Hart &amp; Risley, 1995; Tomalski &amp; Johnson, 2010). The original Hart and Risley (1995) estimates of SES-related word-gap differences have been questioned on methodological and generalizability grounds (Sperry et al., 2019), and the present review does not rely on those specific figures; the broader principle that language input quality varies with parental education is supported independently by the DTI and EEG findings reviewed here. Two lines of evidence bear directly on this pathway.</w:t>
      </w:r>
    </w:p>
    <w:p>
      <w:pPr>
        <w:jc w:val="left"/>
        <w:spacing w:before="0" w:after="120" w:line="480" w:lineRule="auto"/>
      </w:pPr>
      <w:r>
        <w:rPr>
          <w:rFonts w:ascii="Times New Roman" w:hAnsi="Times New Roman"/>
          <w:b w:val="0"/>
          <w:i w:val="0"/>
          <w:sz w:val="24"/>
        </w:rPr>
        <w:t>First, the DTI studies of Ozernov-Palchik et al. (2019) and Turesky et al. (2022) consistently implicate the arcuate fasciculus—the white matter tract connecting perisylvian language areas—as the primary neural substrate of parental education effects. The arcuate fasciculus is known to be highly sensitive to language experience, with FA in this tract predicting reading skill and vocabulary in independent samples (Yeatman et al., 2012). The finding that maternal education predicts arcuate FA as early as 8–9 months (Turesky et al., 2022), and independently of income at 5–8 years (Ozernov-Palchik et al., 2019), is consistent with systematic differences in the quantity and quality of language directed at the child. This dimension of the home environment varies more strongly with educational attainment than with income per se (Hoff, 2003; Rowe, 2008).</w:t>
      </w:r>
    </w:p>
    <w:p>
      <w:pPr>
        <w:jc w:val="left"/>
        <w:spacing w:before="0" w:after="120" w:line="480" w:lineRule="auto"/>
      </w:pPr>
      <w:r>
        <w:rPr>
          <w:rFonts w:ascii="Times New Roman" w:hAnsi="Times New Roman"/>
          <w:b w:val="0"/>
          <w:i w:val="0"/>
          <w:sz w:val="24"/>
        </w:rPr>
        <w:t>Second, Maguire &amp; Schneider (2019) demonstrated that maternal education predicted vocabulary size above and beyond income and raw EEG metrics in school-age children, consistent with a pathway from educational attainment through language-input quality to lexical development that is not reducible to household financial resources. This dissociation is diagnostic: if parental education effects were entirely mediated by income (e.g., better nutrition, less exposure to environmental toxins), one would not expect education to account for unique variance in language-related neural and cognitive outcomes after controlling for income. The persistence of education effects under income control, documented across multiple studies in this review, points to qualitatively distinct environmental inputs—specifically, the information and interaction quality of the home learning environment.</w:t>
      </w:r>
    </w:p>
    <w:p>
      <w:pPr>
        <w:pStyle w:val="Heading3"/>
        <w:spacing w:before="160" w:after="40" w:line="360" w:lineRule="auto"/>
      </w:pPr>
      <w:r>
        <w:rPr>
          <w:rFonts w:ascii="Times New Roman" w:hAnsi="Times New Roman"/>
          <w:b/>
          <w:sz w:val="24"/>
        </w:rPr>
        <w:t>3.6.2 The chronic stress pathway</w:t>
      </w:r>
    </w:p>
    <w:p>
      <w:pPr>
        <w:jc w:val="left"/>
        <w:spacing w:before="0" w:after="120" w:line="480" w:lineRule="auto"/>
      </w:pPr>
      <w:r>
        <w:rPr>
          <w:rFonts w:ascii="Times New Roman" w:hAnsi="Times New Roman"/>
          <w:b w:val="0"/>
          <w:i w:val="0"/>
          <w:sz w:val="24"/>
        </w:rPr>
        <w:t>The chronic stress hypothesis proposes that lower parental education is associated with greater exposure to stressors—financial instability, residential crowding, neighborhood disorder, and family conflict—that dysregulate the hypothalamic–pituitary–adrenal (HPA) axis and alter neural development in stress-sensitive regions, particularly the amygdala, hippocampus, and prefrontal cortex (McEwen &amp; Gianaros, 2010; Blair &amp; Raver, 2016).</w:t>
      </w:r>
    </w:p>
    <w:p>
      <w:pPr>
        <w:jc w:val="left"/>
        <w:spacing w:before="0" w:after="120" w:line="480" w:lineRule="auto"/>
      </w:pPr>
      <w:r>
        <w:rPr>
          <w:rFonts w:ascii="Times New Roman" w:hAnsi="Times New Roman"/>
          <w:b w:val="0"/>
          <w:i w:val="0"/>
          <w:sz w:val="24"/>
        </w:rPr>
        <w:t>Evidence for this pathway comes most directly from Shephard et al. (2019), who found that lower maternal education was independently associated with weaker infant alpha-band functional connectivity (</w:t>
      </w:r>
      <w:r>
        <w:rPr>
          <w:rFonts w:ascii="Times New Roman" w:hAnsi="Times New Roman"/>
          <w:b w:val="0"/>
          <w:i/>
          <w:sz w:val="24"/>
        </w:rPr>
        <w:t>d</w:t>
      </w:r>
      <w:r>
        <w:rPr>
          <w:rFonts w:ascii="Times New Roman" w:hAnsi="Times New Roman"/>
          <w:b w:val="0"/>
          <w:i w:val="0"/>
          <w:sz w:val="24"/>
        </w:rPr>
        <w:t xml:space="preserve"> = 0.61) in a sample of infants born to adolescent mothers living in poverty, after controlling for maternal psychopathology. The fact that maternal psychopathology was explicitly modelled alongside education suggests that caregiver stress and educational level are jointly influential: both need to be accounted for to isolate the education signal. This is consistent with a stress-buffering account in which higher maternal education generally promotes more organized cortical network development, while co-occurring caregiver psychological distress—disproportionately prevalent in low-education contexts—may attenuate this advantage. The alpha-frequency network, which undergoes rapid maturation in the first year of life, is sensitive to glucocorticoid signaling and early adversity effects (Lupien et al., 2009), providing a plausible biological substrate for this interaction.</w:t>
      </w:r>
    </w:p>
    <w:p>
      <w:pPr>
        <w:jc w:val="left"/>
        <w:spacing w:before="0" w:after="120" w:line="480" w:lineRule="auto"/>
      </w:pPr>
      <w:r>
        <w:rPr>
          <w:rFonts w:ascii="Times New Roman" w:hAnsi="Times New Roman"/>
          <w:b w:val="0"/>
          <w:i w:val="0"/>
          <w:sz w:val="24"/>
        </w:rPr>
        <w:t>Further indirect support derives from Ramphal et al. (2020), who observed that higher parental education was associated with stronger neonatal amygdala–prefrontal anticorrelation—a connectivity pattern that has been linked to better emotion regulation and reduced stress reactivity in early childhood (Gee et al., 2013). Because this association was detectable at birth, it implies prenatal programming: the prenatal stress environment experienced by the fetus, which co-varies with maternal education via maternal cortisol levels, placental function, and immune-inflammatory markers, may begin organizing amygdala–prefrontal circuitry before the child's first postnatal interaction with the caregiver.</w:t>
      </w:r>
    </w:p>
    <w:p>
      <w:pPr>
        <w:pStyle w:val="Heading3"/>
        <w:spacing w:before="160" w:after="40" w:line="360" w:lineRule="auto"/>
      </w:pPr>
      <w:r>
        <w:rPr>
          <w:rFonts w:ascii="Times New Roman" w:hAnsi="Times New Roman"/>
          <w:b/>
          <w:sz w:val="24"/>
        </w:rPr>
        <w:t>3.6.3 Integration and limitations of mechanistic inference</w:t>
      </w:r>
    </w:p>
    <w:p>
      <w:pPr>
        <w:jc w:val="left"/>
        <w:spacing w:before="0" w:after="120" w:line="480" w:lineRule="auto"/>
      </w:pPr>
      <w:r>
        <w:rPr>
          <w:rFonts w:ascii="Times New Roman" w:hAnsi="Times New Roman"/>
          <w:b w:val="0"/>
          <w:i w:val="0"/>
          <w:sz w:val="24"/>
        </w:rPr>
        <w:t>The two pathways are not mutually exclusive and likely operate simultaneously across the developmental period covered by this review. For children assessed prior to the accumulation of substantial postnatal experience—including full-term neonates scanned within days of birth (Ramphal et al., 2020) and very preterm infants assessed during the NICU period (McKinnon et al., 2023; Konrad et al., 2024)—prenatal mechanisms operating via maternal stress physiology and nutritional status likely contribute substantially to the observed parental education associations. For children assessed in infancy and beyond (Turesky et al., 2022; Shephard et al., 2019; Maguire &amp; Schneider, 2019; Ozernov-Palchik et al., 2019), both prenatal programming and ongoing postnatal environmental inputs plausibly contribute.</w:t>
      </w:r>
    </w:p>
    <w:p>
      <w:pPr>
        <w:jc w:val="left"/>
        <w:spacing w:before="0" w:after="120" w:line="480" w:lineRule="auto"/>
      </w:pPr>
      <w:r>
        <w:rPr>
          <w:rFonts w:ascii="Times New Roman" w:hAnsi="Times New Roman"/>
          <w:b w:val="0"/>
          <w:i w:val="0"/>
          <w:sz w:val="24"/>
        </w:rPr>
        <w:t>Several important limitations constrain mechanistic inference from the current evidence base. No study in this review directly measured the hypothesized mediating variables—language input quantity, parental sensitivity, household stressors, or cortisol reactivity—alongside neural outcomes, making it impossible to establish mediation formally. The Shephard et al. (2019) moderation analysis provides suggestive evidence for a stress-pathway component, and the Ozernov-Palchik et al. (2019) income-controlled analysis supports a cognitive stimulation pathway, but neither constitutes a test of the full mechanistic chain. Future studies employing ecological momentary assessment of parenting quality, home language environment recording, and HPA biomarkers alongside neural measurement would substantially advance mechanistic understanding.</w:t>
      </w:r>
    </w:p>
    <w:p>
      <w:r>
        <w:br w:type="page"/>
      </w:r>
    </w:p>
    <w:p>
      <w:pPr>
        <w:pStyle w:val="Heading1"/>
        <w:spacing w:before="240" w:after="60" w:line="360" w:lineRule="auto"/>
      </w:pPr>
      <w:r>
        <w:rPr>
          <w:rFonts w:ascii="Times New Roman" w:hAnsi="Times New Roman"/>
          <w:b/>
          <w:sz w:val="28"/>
        </w:rPr>
        <w:t>4. Discussion</w:t>
      </w:r>
    </w:p>
    <w:p>
      <w:pPr>
        <w:pStyle w:val="Heading2"/>
        <w:spacing w:before="200" w:after="40" w:line="360" w:lineRule="auto"/>
      </w:pPr>
      <w:r>
        <w:rPr>
          <w:rFonts w:ascii="Times New Roman" w:hAnsi="Times New Roman"/>
          <w:b/>
          <w:sz w:val="26"/>
        </w:rPr>
        <w:t>4.1 Summary of findings</w:t>
      </w:r>
    </w:p>
    <w:p>
      <w:pPr>
        <w:jc w:val="left"/>
        <w:spacing w:before="0" w:after="120" w:line="480" w:lineRule="auto"/>
      </w:pPr>
      <w:r>
        <w:rPr>
          <w:rFonts w:ascii="Times New Roman" w:hAnsi="Times New Roman"/>
          <w:b w:val="0"/>
          <w:i w:val="0"/>
          <w:sz w:val="24"/>
        </w:rPr>
        <w:t>This systematic review identified 16 studies reporting independent associations between parental education level and direct neural outcomes in children aged 0–15 years, with the majority (12 of 16) focusing on the 0–8 year target window. Fifteen of 16 studies (94%) reported a positive association between higher parental education and more mature or stronger neural indices. This pattern held across all six included neural modalities—resting-state EEG, ERP, fNIRS, fMRI, DTI, and structural MRI—and across the full developmental span examined, from the neonatal period through middle childhood. The single negative finding (Wienke et al., 2024) was specific to an infant ERP paradigm in a migrant-majority sample and may reflect migration-related contextual factors specific to that sample rather than a true reversal of the education effect.</w:t>
      </w:r>
    </w:p>
    <w:p>
      <w:pPr>
        <w:jc w:val="left"/>
        <w:spacing w:before="0" w:after="120" w:line="480" w:lineRule="auto"/>
      </w:pPr>
      <w:r>
        <w:rPr>
          <w:rFonts w:ascii="Times New Roman" w:hAnsi="Times New Roman"/>
          <w:b w:val="0"/>
          <w:i w:val="0"/>
          <w:sz w:val="24"/>
        </w:rPr>
        <w:t>The strength of the directional consistency—94% positive across modalities—is notable given the methodological diversity of the included studies: different neural modalities with incommensurable outcome metrics, different operationalizations of parental education (years of schooling, categorical degree attainment, composite-separable), different covariate sets, and samples drawn from 10 countries or regions. The convergence of evidence under these conditions increases confidence that the observed pattern reflects a genuine environmental signal rather than a methodological artifact.</w:t>
      </w:r>
    </w:p>
    <w:p>
      <w:pPr>
        <w:jc w:val="left"/>
        <w:spacing w:before="0" w:after="120" w:line="480" w:lineRule="auto"/>
      </w:pPr>
      <w:r>
        <w:rPr>
          <w:rFonts w:ascii="Times New Roman" w:hAnsi="Times New Roman"/>
          <w:b w:val="0"/>
          <w:i w:val="0"/>
          <w:sz w:val="24"/>
        </w:rPr>
        <w:t xml:space="preserve">Two structural findings are particularly notable from a developmental neuroscience perspective. First, parental education associations with neural outcomes were detectable before substantial postnatal experience had accrued—including in one study scanning full-term infants within four days of birth (Ramphal et al., 2020), and in two studies of very preterm infants assessed during the NICU period (McKinnon et al., 2023; Konrad et al., 2024)—consistent with </w:t>
      </w:r>
      <w:r>
        <w:rPr>
          <w:rFonts w:ascii="Times New Roman" w:hAnsi="Times New Roman"/>
          <w:b w:val="0"/>
          <w:i/>
          <w:sz w:val="24"/>
        </w:rPr>
        <w:t>in utero</w:t>
      </w:r>
      <w:r>
        <w:rPr>
          <w:rFonts w:ascii="Times New Roman" w:hAnsi="Times New Roman"/>
          <w:b w:val="0"/>
          <w:i w:val="0"/>
          <w:sz w:val="24"/>
        </w:rPr>
        <w:t xml:space="preserve"> influences. Second, across the DTI studies, the arcuate fasciculus was implicated in two of three DTI studies (Turesky et al., 2022; Ozernov-Palchik et al., 2019); notably, in the larger sample, the education–FA association in this tract persisted after controlling for income (Ozernov-Palchik et al., 2019), pointing to language experience quality as a plausible proximal mechanism.</w:t>
      </w:r>
    </w:p>
    <w:p>
      <w:pPr>
        <w:jc w:val="left"/>
        <w:spacing w:before="0" w:after="120" w:line="480" w:lineRule="auto"/>
      </w:pPr>
      <w:r>
        <w:rPr>
          <w:rFonts w:ascii="Times New Roman" w:hAnsi="Times New Roman"/>
          <w:b w:val="0"/>
          <w:i w:val="0"/>
          <w:sz w:val="24"/>
        </w:rPr>
        <w:t>Compared with prior narrative reviews that described SES–brain links using composite SES indices (Hackman &amp; Farah, 2009; Tomalski &amp; Johnson, 2010), the present review is the first to systematically require an independently estimable effect of parental education specifically, and to synthesize evidence across six neural modalities simultaneously. This cross-modal synthesis reveals a level of convergence—particularly around fronto-temporal language networks—that could not be discerned from modality-specific literatures in isolation.</w:t>
      </w:r>
    </w:p>
    <w:p>
      <w:pPr>
        <w:pStyle w:val="Heading2"/>
        <w:spacing w:before="200" w:after="40" w:line="360" w:lineRule="auto"/>
      </w:pPr>
      <w:r>
        <w:rPr>
          <w:rFonts w:ascii="Times New Roman" w:hAnsi="Times New Roman"/>
          <w:b/>
          <w:sz w:val="26"/>
        </w:rPr>
        <w:t>4.2 Developmental timing and sensitive periods</w:t>
      </w:r>
    </w:p>
    <w:p>
      <w:pPr>
        <w:jc w:val="left"/>
        <w:spacing w:before="0" w:after="120" w:line="480" w:lineRule="auto"/>
      </w:pPr>
      <w:r>
        <w:rPr>
          <w:rFonts w:ascii="Times New Roman" w:hAnsi="Times New Roman"/>
          <w:b w:val="0"/>
          <w:i w:val="0"/>
          <w:sz w:val="24"/>
        </w:rPr>
        <w:t xml:space="preserve">The age distribution of included studies speaks to the question of when in development parental education associations with neural outcomes are first detectable and whether associations are concentrated in particular developmental windows. The neonatal findings establish associations detectable before substantial postnatal experience had accrued, consistent with </w:t>
      </w:r>
      <w:r>
        <w:rPr>
          <w:rFonts w:ascii="Times New Roman" w:hAnsi="Times New Roman"/>
          <w:b w:val="0"/>
          <w:i/>
          <w:sz w:val="24"/>
        </w:rPr>
        <w:t>in utero</w:t>
      </w:r>
      <w:r>
        <w:rPr>
          <w:rFonts w:ascii="Times New Roman" w:hAnsi="Times New Roman"/>
          <w:b w:val="0"/>
          <w:i w:val="0"/>
          <w:sz w:val="24"/>
        </w:rPr>
        <w:t xml:space="preserve"> origins. The infant and toddler findings (seven studies, excluding the three neonatal studies) indicate that education-related neural differences are already present and widening in the first two years of life—before formal schooling and before most cognitive assessment instruments can be reliably administered. The school-age findings (seven studies, four of which extend beyond 8 years but report primary effects or subgroup analyses within the school-age range) demonstrate that these differences persist into middle childhood, with some evidence that they may be increasing (e.g., Ozernov-Palchik et al., 2019, finding large arcuate FA associations at 5–8 years).</w:t>
      </w:r>
    </w:p>
    <w:p>
      <w:pPr>
        <w:jc w:val="left"/>
        <w:spacing w:before="0" w:after="120" w:line="480" w:lineRule="auto"/>
      </w:pPr>
      <w:r>
        <w:rPr>
          <w:rFonts w:ascii="Times New Roman" w:hAnsi="Times New Roman"/>
          <w:b w:val="0"/>
          <w:i w:val="0"/>
          <w:sz w:val="24"/>
        </w:rPr>
        <w:t>This pattern implies that early intervention is most likely to be effective if initiated in the perinatal and infant periods, when parental education-related environmental exposures—prenatal stress, postnatal language input, caregiving sensitivity—are already associated with differences in developing neural systems. Interventions targeting older preschool or school-age children may still produce benefits, but may be attempting to modify neural systems that have already consolidated SES-related differences over several years of development. This is consistent with the broader early childhood intervention literature emphasizing the importance of the first 1,000 days (Victora et al., 2008; see also Walker et al., 2011).</w:t>
      </w:r>
    </w:p>
    <w:p>
      <w:pPr>
        <w:pStyle w:val="Heading2"/>
        <w:spacing w:before="200" w:after="40" w:line="360" w:lineRule="auto"/>
      </w:pPr>
      <w:r>
        <w:rPr>
          <w:rFonts w:ascii="Times New Roman" w:hAnsi="Times New Roman"/>
          <w:b/>
          <w:sz w:val="26"/>
        </w:rPr>
        <w:t>4.3 Conditions under which associations are detectable: candidate moderators</w:t>
      </w:r>
    </w:p>
    <w:p>
      <w:pPr>
        <w:jc w:val="left"/>
        <w:spacing w:before="0" w:after="120" w:line="480" w:lineRule="auto"/>
      </w:pPr>
      <w:r>
        <w:rPr>
          <w:rFonts w:ascii="Times New Roman" w:hAnsi="Times New Roman"/>
          <w:b w:val="0"/>
          <w:i w:val="0"/>
          <w:sz w:val="24"/>
        </w:rPr>
        <w:t xml:space="preserve">The directional consistency of findings across 16 studies is striking, but the evidence base also reveals systematic variation in </w:t>
      </w:r>
      <w:r>
        <w:rPr>
          <w:rFonts w:ascii="Times New Roman" w:hAnsi="Times New Roman"/>
          <w:b w:val="0"/>
          <w:i/>
          <w:sz w:val="24"/>
        </w:rPr>
        <w:t>where</w:t>
      </w:r>
      <w:r>
        <w:rPr>
          <w:rFonts w:ascii="Times New Roman" w:hAnsi="Times New Roman"/>
          <w:b w:val="0"/>
          <w:i w:val="0"/>
          <w:sz w:val="24"/>
        </w:rPr>
        <w:t xml:space="preserve"> and </w:t>
      </w:r>
      <w:r>
        <w:rPr>
          <w:rFonts w:ascii="Times New Roman" w:hAnsi="Times New Roman"/>
          <w:b w:val="0"/>
          <w:i/>
          <w:sz w:val="24"/>
        </w:rPr>
        <w:t>under what conditions</w:t>
      </w:r>
      <w:r>
        <w:rPr>
          <w:rFonts w:ascii="Times New Roman" w:hAnsi="Times New Roman"/>
          <w:b w:val="0"/>
          <w:i w:val="0"/>
          <w:sz w:val="24"/>
        </w:rPr>
        <w:t xml:space="preserve"> parental education associations with neural development are most reliably observed. Four candidate moderating variables emerge from the current review.</w:t>
      </w:r>
    </w:p>
    <w:p>
      <w:pPr>
        <w:pStyle w:val="Heading3"/>
        <w:spacing w:before="160" w:after="40" w:line="360" w:lineRule="auto"/>
      </w:pPr>
      <w:r>
        <w:rPr>
          <w:rFonts w:ascii="Times New Roman" w:hAnsi="Times New Roman"/>
          <w:b/>
          <w:sz w:val="24"/>
        </w:rPr>
        <w:t>4.3.1 Neural system specificity</w:t>
      </w:r>
    </w:p>
    <w:p>
      <w:pPr>
        <w:jc w:val="left"/>
        <w:spacing w:before="0" w:after="120" w:line="480" w:lineRule="auto"/>
      </w:pPr>
      <w:r>
        <w:rPr>
          <w:rFonts w:ascii="Times New Roman" w:hAnsi="Times New Roman"/>
          <w:b w:val="0"/>
          <w:i w:val="0"/>
          <w:sz w:val="24"/>
        </w:rPr>
        <w:t xml:space="preserve">Parental education effects are not distributed uniformly across the brain. Across modalities, associations cluster in two functional systems: the </w:t>
      </w:r>
      <w:r>
        <w:rPr>
          <w:rFonts w:ascii="Times New Roman" w:hAnsi="Times New Roman"/>
          <w:b/>
          <w:i w:val="0"/>
          <w:sz w:val="24"/>
        </w:rPr>
        <w:t>language network</w:t>
      </w:r>
      <w:r>
        <w:rPr>
          <w:rFonts w:ascii="Times New Roman" w:hAnsi="Times New Roman"/>
          <w:b w:val="0"/>
          <w:i w:val="0"/>
          <w:sz w:val="24"/>
        </w:rPr>
        <w:t xml:space="preserve"> (arcuate fasciculus, inferior frontal gyrus, superior temporal regions) and the </w:t>
      </w:r>
      <w:r>
        <w:rPr>
          <w:rFonts w:ascii="Times New Roman" w:hAnsi="Times New Roman"/>
          <w:b/>
          <w:i w:val="0"/>
          <w:sz w:val="24"/>
        </w:rPr>
        <w:t>executive control and stress-regulation network</w:t>
      </w:r>
      <w:r>
        <w:rPr>
          <w:rFonts w:ascii="Times New Roman" w:hAnsi="Times New Roman"/>
          <w:b w:val="0"/>
          <w:i w:val="0"/>
          <w:sz w:val="24"/>
        </w:rPr>
        <w:t xml:space="preserve"> (anterior cingulate cortex, medial prefrontal cortex, amygdala–PFC circuitry). Seven of 16 studies implicated language-network regions as primary substrates (Turesky et al., 2022; Ozernov-Palchik et al., 2019; Demir-Lira et al., 2021; Brito &amp; Noble, 2020‡; Shephard et al., 2019; Maguire &amp; Schneider, 2019; Wienke et al., 2024), while five studies implicated prefrontal executive and stress-regulation circuitry (Conejero et al., 2018; Wijeakumar et al., 2019; Ursache &amp; Noble, 2016; Maguire &amp; Schneider, 2019; Ramphal et al., 2020). The remaining four studies (Stiver et al., 2015; McKinnon et al., 2023; Zhu et al., 2023; Lange et al., 2010) reported effects on global or distributed morphometry rather than specific networks. This pattern is not random: language and executive function are precisely the behavioral domains most reliably associated with parental education in the behavioral literature (Hoff, 2013; Blair &amp; Raver, 2016). The neural system specificity thus supports the theoretical coherence of the observed associations, and suggests that future studies focusing on fronto-temporal language circuitry and prefrontal regulatory networks are most likely to detect reliable parental education effects.</w:t>
      </w:r>
    </w:p>
    <w:p>
      <w:pPr>
        <w:jc w:val="left"/>
        <w:spacing w:before="0" w:after="120" w:line="480" w:lineRule="auto"/>
      </w:pPr>
      <w:r>
        <w:rPr>
          <w:rFonts w:ascii="Times New Roman" w:hAnsi="Times New Roman"/>
          <w:b w:val="0"/>
          <w:i w:val="0"/>
          <w:sz w:val="24"/>
        </w:rPr>
        <w:t>Among the seven language-network studies, five measured language-circuit anatomy or activation directly (Turesky et al., 2022; Ozernov-Palchik et al., 2019; Demir-Lira et al., 2021; Brito &amp; Noble, 2020‡; Wienke et al., 2024); two studies (Shephard et al., 2019; Maguire &amp; Schneider, 2019) measured EEG alpha indices that serve as indirect proxies for thalamocortical and prefrontal maturation rather than language-circuit anatomy per se. ‡Brito &amp; Noble (2020) reported a nominally significant association that did not survive FDR correction and should be interpreted cautiously (see Section 4.3.4). Wienke et al. (2024), also using an auditory ERP paradigm targeting speech discrimination, produced the review's only negative finding; as discussed in Section 4.3.3, this result is consistent with migration-related contextual factors specific to that sample rather than the absence of a language-network association per se.</w:t>
      </w:r>
    </w:p>
    <w:p>
      <w:pPr>
        <w:jc w:val="left"/>
        <w:spacing w:before="0" w:after="120" w:line="480" w:lineRule="auto"/>
      </w:pPr>
      <w:r>
        <w:rPr>
          <w:rFonts w:ascii="Times New Roman" w:hAnsi="Times New Roman"/>
          <w:b/>
          <w:i w:val="0"/>
          <w:sz w:val="24"/>
        </w:rPr>
        <w:t>Table 2. Distribution of neural system specificity across 16 included studies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Neural system</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k</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Representative studies</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Language network (arcuate fasciculus, IFG, STG)</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 Ozernov-Palchik et al. (2019); Demir-Lira et al. (2021); Brito &amp; Noble (2020)‡</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Executive control / stress-regulation (ACC, mPFC, amygdala–PFC)</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 Ramphal et al. (2020); Ursache &amp; Noble (2016)</w:t>
            </w:r>
          </w:p>
        </w:tc>
      </w:tr>
      <w:tr>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Global / distributed morphometry</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 Zhu et al. (2023); Stiver et al. (2015); Lange et al. (2010)†</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Maguire &amp; Schneider (2019) contributed to both the language network and executive control counts (alpha power as language-maturation proxy; vocabulary and working memory as executive outcomes); total </w:t>
      </w:r>
      <w:r>
        <w:rPr>
          <w:rFonts w:ascii="Times New Roman" w:hAnsi="Times New Roman"/>
          <w:b w:val="0"/>
          <w:i/>
          <w:sz w:val="20"/>
        </w:rPr>
        <w:t>k</w:t>
      </w:r>
      <w:r>
        <w:rPr>
          <w:rFonts w:ascii="Times New Roman" w:hAnsi="Times New Roman"/>
          <w:b w:val="0"/>
          <w:i w:val="0"/>
          <w:sz w:val="20"/>
        </w:rPr>
        <w:t xml:space="preserve"> across categories therefore exceeds 16. ‡Brito &amp; Noble (2020) is included in the language-network category because posterior alpha/beta power in infancy serves as a general index of thalamocortical maturation supporting early language processing (Marshall &amp; Meltzoff, 2014), though this categorisation is indirect; the association also did not survive FDR correction (see §4.3.4). †Lange et al. (2010) is categorised under global morphometry for tabulation purposes; its primary finding was an association between parental education and verbal IQ, with brain volume included as a covariate rather than a primary neural outcome (see §3.5.1).</w:t>
      </w:r>
    </w:p>
    <w:p>
      <w:pPr>
        <w:pStyle w:val="Heading3"/>
        <w:spacing w:before="160" w:after="40" w:line="360" w:lineRule="auto"/>
      </w:pPr>
      <w:r>
        <w:rPr>
          <w:rFonts w:ascii="Times New Roman" w:hAnsi="Times New Roman"/>
          <w:b/>
          <w:sz w:val="24"/>
        </w:rPr>
        <w:t>4.3.2 Developmental age</w:t>
      </w:r>
    </w:p>
    <w:p>
      <w:pPr>
        <w:jc w:val="left"/>
        <w:spacing w:before="0" w:after="120" w:line="480" w:lineRule="auto"/>
      </w:pPr>
      <w:r>
        <w:rPr>
          <w:rFonts w:ascii="Times New Roman" w:hAnsi="Times New Roman"/>
          <w:b w:val="0"/>
          <w:i w:val="0"/>
          <w:sz w:val="24"/>
        </w:rPr>
        <w:t>Organising the included studies by developmental stage—infancy (0–2 years), toddler/preschool (3–5 years), childhood (6–12 years), and early adolescence (12–18 years)—reveals a striking imbalance in research coverage and points to a critical gap in the current evidence base. Studies are classified by their primary measurement age; studies whose samples span multiple windows are counted once in the window containing their primary age range, with cross-window coverage noted where relevant. Zhu et al. (2023), whose MRI assessments spanned 1.5–8 years continuously, is an exception and is noted in both the infancy and childhood windows.</w:t>
      </w:r>
    </w:p>
    <w:p>
      <w:pPr>
        <w:jc w:val="left"/>
        <w:spacing w:before="0" w:after="120" w:line="480" w:lineRule="auto"/>
      </w:pPr>
      <w:r>
        <w:rPr>
          <w:rFonts w:ascii="Times New Roman" w:hAnsi="Times New Roman"/>
          <w:b/>
          <w:i w:val="0"/>
          <w:sz w:val="24"/>
        </w:rPr>
        <w:t>Infancy (0–2 years; *k* = 9).</w:t>
      </w:r>
      <w:r>
        <w:rPr>
          <w:rFonts w:ascii="Times New Roman" w:hAnsi="Times New Roman"/>
          <w:b w:val="0"/>
          <w:i w:val="0"/>
          <w:sz w:val="24"/>
        </w:rPr>
        <w:t xml:space="preserve"> The evidence base is most concentrated in this period. Three neonatal studies established associations detectable before substantial postnatal experience had accrued: one scanning full-term infants within four days of birth (Ramphal et al., 2020) and two examining very preterm infants during the NICU period at term-equivalent age (McKinnon et al., 2023; Konrad et al., 2024), all consistent with prenatal origins. A further six studies examined infants and toddlers up to approximately 2 years of age (Wienke et al., 2024; Brito &amp; Noble, 2020; Turesky et al., 2022; Shephard et al., 2019; Conejero et al., 2018; Stiver et al., 2015), spanning EEG, ERP, DTI, and structural MRI modalities. Eight of the nine studies in this window reported positive associations; the single exception (Wienke et al., 2024) is attributable to migration-related contextual factors as discussed in Section 4.3.3. Note: Zhu et al. (2023), whose longitudinal MRI assessments spanned birth through 8 years, is counted only in the Childhood window below and is not included in the k = 9 above.</w:t>
      </w:r>
    </w:p>
    <w:p>
      <w:pPr>
        <w:jc w:val="left"/>
        <w:spacing w:before="0" w:after="120" w:line="480" w:lineRule="auto"/>
      </w:pPr>
      <w:r>
        <w:rPr>
          <w:rFonts w:ascii="Times New Roman" w:hAnsi="Times New Roman"/>
          <w:b/>
          <w:i w:val="0"/>
          <w:sz w:val="24"/>
        </w:rPr>
        <w:t>Toddler and preschool period (3–5 years; *k* = 0).</w:t>
      </w:r>
      <w:r>
        <w:rPr>
          <w:rFonts w:ascii="Times New Roman" w:hAnsi="Times New Roman"/>
          <w:b w:val="0"/>
          <w:i w:val="0"/>
          <w:sz w:val="24"/>
        </w:rPr>
        <w:t xml:space="preserve"> No study in this review examined parental education effects on neural development in children aged 3–5 years—a period of rapid vocabulary growth and emerging executive function (Diamond, 2013). This is the most critical missing window in the current evidence base, discussed further in Section 4.6.</w:t>
      </w:r>
    </w:p>
    <w:p>
      <w:pPr>
        <w:jc w:val="left"/>
        <w:spacing w:before="0" w:after="120" w:line="480" w:lineRule="auto"/>
      </w:pPr>
      <w:r>
        <w:rPr>
          <w:rFonts w:ascii="Times New Roman" w:hAnsi="Times New Roman"/>
          <w:b/>
          <w:i w:val="0"/>
          <w:sz w:val="24"/>
        </w:rPr>
        <w:t>Childhood (6–12 years; *k* = 7).</w:t>
      </w:r>
      <w:r>
        <w:rPr>
          <w:rFonts w:ascii="Times New Roman" w:hAnsi="Times New Roman"/>
          <w:b w:val="0"/>
          <w:i w:val="0"/>
          <w:sz w:val="24"/>
        </w:rPr>
        <w:t xml:space="preserve"> Seven studies included children in the school-age period, including the longitudinal trajectories reported by Zhu et al. (2023) in the upper portion of their 1.5–8 year range. All seven reported positive associations (Wijeakumar et al., 2019; Ozernov-Palchik et al., 2019; Demir-Lira et al., 2021; Maguire &amp; Schneider, 2019; Ursache &amp; Noble, 2016; Zhu et al., 2023; Lange et al., 2010), making this the developmental window with the highest directional consistency in the review. Note that four of these seven studies (Demir-Lira et al., 2021, aged 6–13y; Maguire &amp; Schneider, 2019, aged 8–15y; Ursache &amp; Noble, 2016, aged 3–21y; Lange et al., 2010, aged 4–18y) included participants extending beyond the 0–8 year target window, but each reported primary effects or subgroup analyses within the school-age range. Several of these studies explicitly controlled for household income, confirming that parental education confers independent neural advantages beyond financial resources during this period.</w:t>
      </w:r>
    </w:p>
    <w:p>
      <w:pPr>
        <w:jc w:val="left"/>
        <w:spacing w:before="0" w:after="120" w:line="480" w:lineRule="auto"/>
      </w:pPr>
      <w:r>
        <w:rPr>
          <w:rFonts w:ascii="Times New Roman" w:hAnsi="Times New Roman"/>
          <w:b/>
          <w:i w:val="0"/>
          <w:sz w:val="24"/>
        </w:rPr>
        <w:t>Early adolescence (12–18 years).</w:t>
      </w:r>
      <w:r>
        <w:rPr>
          <w:rFonts w:ascii="Times New Roman" w:hAnsi="Times New Roman"/>
          <w:b w:val="0"/>
          <w:i w:val="0"/>
          <w:sz w:val="24"/>
        </w:rPr>
        <w:t xml:space="preserve"> Two studies whose samples extended into adolescence—Maguire &amp; Schneider (2019; aged 8–15 years) and Lange et al. (2010; aged 4–18 years)—are both classified in the childhood window above given their primary focus on school-age children. Both reported positive associations extending into the adolescent age range, but the adolescent-specific evidence base is too sparse to draw conclusions specific to this developmental window.</w:t>
      </w:r>
    </w:p>
    <w:p>
      <w:pPr>
        <w:jc w:val="left"/>
        <w:spacing w:before="0" w:after="120" w:line="480" w:lineRule="auto"/>
      </w:pPr>
      <w:r>
        <w:rPr>
          <w:rFonts w:ascii="Times New Roman" w:hAnsi="Times New Roman"/>
          <w:b w:val="0"/>
          <w:i w:val="0"/>
          <w:sz w:val="24"/>
        </w:rPr>
        <w:t>This age-stratified view clarifies that the directional consistency observed across all 16 studies does not imply uniform evidence density. The field has concentrated on the neonatal–infant period and the school-age period, leaving a conspicuous gap at the 3–5 year window. Future research targeting this preschool period—using EEG, fNIRS, or structural MRI designs adapted for young children—would substantially advance understanding of how parental education effects accumulate across the most language-sensitive developmental interval.</w:t>
      </w:r>
    </w:p>
    <w:p>
      <w:pPr>
        <w:pStyle w:val="Heading3"/>
        <w:spacing w:before="160" w:after="40" w:line="360" w:lineRule="auto"/>
      </w:pPr>
      <w:r>
        <w:rPr>
          <w:rFonts w:ascii="Times New Roman" w:hAnsi="Times New Roman"/>
          <w:b/>
          <w:sz w:val="24"/>
        </w:rPr>
        <w:t>4.3.3 Cultural and migration context: the Wienke exception</w:t>
      </w:r>
    </w:p>
    <w:p>
      <w:pPr>
        <w:jc w:val="left"/>
        <w:spacing w:before="0" w:after="120" w:line="480" w:lineRule="auto"/>
      </w:pPr>
      <w:r>
        <w:rPr>
          <w:rFonts w:ascii="Times New Roman" w:hAnsi="Times New Roman"/>
          <w:b w:val="0"/>
          <w:i w:val="0"/>
          <w:sz w:val="24"/>
        </w:rPr>
        <w:t>The single negative finding in this review—Wienke et al. (2024), reporting reduced ERP differentiation in infants of lower-educated parents in a German sample—warrants specific attention as a potential moderator. Wienke's sample was predominantly composed of migrant families, in whom parental education level may carry different meaning than in the majority-culture samples that constitute the remaining 15 studies. Two competing explanations deserve consideration.</w:t>
      </w:r>
    </w:p>
    <w:p>
      <w:pPr>
        <w:jc w:val="left"/>
        <w:spacing w:before="0" w:after="120" w:line="480" w:lineRule="auto"/>
      </w:pPr>
      <w:r>
        <w:rPr>
          <w:rFonts w:ascii="Times New Roman" w:hAnsi="Times New Roman"/>
          <w:b w:val="0"/>
          <w:i w:val="0"/>
          <w:sz w:val="24"/>
        </w:rPr>
        <w:t xml:space="preserve">The first is </w:t>
      </w:r>
      <w:r>
        <w:rPr>
          <w:rFonts w:ascii="Times New Roman" w:hAnsi="Times New Roman"/>
          <w:b/>
          <w:i w:val="0"/>
          <w:sz w:val="24"/>
        </w:rPr>
        <w:t>educational credential devaluation</w:t>
      </w:r>
      <w:r>
        <w:rPr>
          <w:rFonts w:ascii="Times New Roman" w:hAnsi="Times New Roman"/>
          <w:b w:val="0"/>
          <w:i w:val="0"/>
          <w:sz w:val="24"/>
        </w:rPr>
        <w:t xml:space="preserve">: in migrant contexts, formal educational qualifications obtained abroad are frequently not recognized by host-country institutions and labour markets, meaning that the educational resources a parent actually possesses—including language proficiency, cultural capital, and occupational resources—may not correspond to their years of schooling in the way they would in the country where education was obtained. If the mechanism linking parental education to neural development operates through the </w:t>
      </w:r>
      <w:r>
        <w:rPr>
          <w:rFonts w:ascii="Times New Roman" w:hAnsi="Times New Roman"/>
          <w:b w:val="0"/>
          <w:i/>
          <w:sz w:val="24"/>
        </w:rPr>
        <w:t>quality of the home learning environment</w:t>
      </w:r>
      <w:r>
        <w:rPr>
          <w:rFonts w:ascii="Times New Roman" w:hAnsi="Times New Roman"/>
          <w:b w:val="0"/>
          <w:i w:val="0"/>
          <w:sz w:val="24"/>
        </w:rPr>
        <w:t xml:space="preserve"> rather than through years of schooling per se, then devaluation of educational credentials in migrant families would attenuate or reverse the expected association.</w:t>
      </w:r>
    </w:p>
    <w:p>
      <w:pPr>
        <w:jc w:val="left"/>
        <w:spacing w:before="0" w:after="120" w:line="480" w:lineRule="auto"/>
      </w:pPr>
      <w:r>
        <w:rPr>
          <w:rFonts w:ascii="Times New Roman" w:hAnsi="Times New Roman"/>
          <w:b w:val="0"/>
          <w:i w:val="0"/>
          <w:sz w:val="24"/>
        </w:rPr>
        <w:t xml:space="preserve">The second is </w:t>
      </w:r>
      <w:r>
        <w:rPr>
          <w:rFonts w:ascii="Times New Roman" w:hAnsi="Times New Roman"/>
          <w:b/>
          <w:i w:val="0"/>
          <w:sz w:val="24"/>
        </w:rPr>
        <w:t>multilingual input heterogeneity</w:t>
      </w:r>
      <w:r>
        <w:rPr>
          <w:rFonts w:ascii="Times New Roman" w:hAnsi="Times New Roman"/>
          <w:b w:val="0"/>
          <w:i w:val="0"/>
          <w:sz w:val="24"/>
        </w:rPr>
        <w:t>: infants in multilingual households receive phonological input from multiple language systems, which may produce neural differentiation patterns in auditory processing paradigms that differ from those observed in monolingual majority-language infants. In the Wienke paradigm specifically—an auditory oddball paradigm using German speech stimuli—infants whose primary home language was not German may show reduced differentiation of German-specific phonemic contrasts irrespective of parental education level, confounding the education effect.</w:t>
      </w:r>
    </w:p>
    <w:p>
      <w:pPr>
        <w:jc w:val="left"/>
        <w:spacing w:before="0" w:after="120" w:line="480" w:lineRule="auto"/>
      </w:pPr>
      <w:r>
        <w:rPr>
          <w:rFonts w:ascii="Times New Roman" w:hAnsi="Times New Roman"/>
          <w:b w:val="0"/>
          <w:i w:val="0"/>
          <w:sz w:val="24"/>
        </w:rPr>
        <w:t>These two explanations cannot be disentangled with the available data, as Wienke et al. (2024) did not separately analyse the migrant sub-sample or report language-of-testing breakdowns by education group. However, both explanations converge on the same prediction: the association between parental education and neural development is consistent with being substantially moderated by whether the family belongs to the cultural and linguistic mainstream of the society in which the study is conducted. This hypothesis is directly testable in future studies using stratified analyses by migration status and home language environment, and has important implications for the generalizability of findings from predominantly majority-culture, English-speaking samples to the global population.</w:t>
      </w:r>
    </w:p>
    <w:p>
      <w:pPr>
        <w:pStyle w:val="Heading3"/>
        <w:spacing w:before="160" w:after="40" w:line="360" w:lineRule="auto"/>
      </w:pPr>
      <w:r>
        <w:rPr>
          <w:rFonts w:ascii="Times New Roman" w:hAnsi="Times New Roman"/>
          <w:b/>
          <w:sz w:val="24"/>
        </w:rPr>
        <w:t>4.3.4 Operationalization of parental education</w:t>
      </w:r>
    </w:p>
    <w:p>
      <w:pPr>
        <w:jc w:val="left"/>
        <w:spacing w:before="0" w:after="120" w:line="480" w:lineRule="auto"/>
      </w:pPr>
      <w:r>
        <w:rPr>
          <w:rFonts w:ascii="Times New Roman" w:hAnsi="Times New Roman"/>
          <w:b w:val="0"/>
          <w:i w:val="0"/>
          <w:sz w:val="24"/>
        </w:rPr>
        <w:t xml:space="preserve">A potential methodological moderator is how parental education was measured. Across 16 studies, two distinct classification dimensions are relevant. In terms of </w:t>
      </w:r>
      <w:r>
        <w:rPr>
          <w:rFonts w:ascii="Times New Roman" w:hAnsi="Times New Roman"/>
          <w:b/>
          <w:i w:val="0"/>
          <w:sz w:val="24"/>
        </w:rPr>
        <w:t>operationalization independence</w:t>
      </w:r>
      <w:r>
        <w:rPr>
          <w:rFonts w:ascii="Times New Roman" w:hAnsi="Times New Roman"/>
          <w:b w:val="0"/>
          <w:i w:val="0"/>
          <w:sz w:val="24"/>
        </w:rPr>
        <w:t xml:space="preserve">, education was the sole SES exposure in 9 studies (edu-only) and one component of a composite SES index with a separately estimable coefficient in 7 studies (composite-separable). In terms of </w:t>
      </w:r>
      <w:r>
        <w:rPr>
          <w:rFonts w:ascii="Times New Roman" w:hAnsi="Times New Roman"/>
          <w:b/>
          <w:i w:val="0"/>
          <w:sz w:val="24"/>
        </w:rPr>
        <w:t>measurement format</w:t>
      </w:r>
      <w:r>
        <w:rPr>
          <w:rFonts w:ascii="Times New Roman" w:hAnsi="Times New Roman"/>
          <w:b w:val="0"/>
          <w:i w:val="0"/>
          <w:sz w:val="24"/>
        </w:rPr>
        <w:t xml:space="preserve">, education was operationalized as continuous years of schooling in approximately 9 studies, and as categorical degree attainment (e.g., university vs. lower) in approximately 6 studies; one study (Ramphal et al., 2020) did not specify the format precisely. These two dimensions are orthogonal: studies with composite-separable operationalizations used both continuous and categorical formats. Both positive findings and the single negative finding were distributed across operationalization types, suggesting that the direction of the association does not depend on measurement format. However, the </w:t>
      </w:r>
      <w:r>
        <w:rPr>
          <w:rFonts w:ascii="Times New Roman" w:hAnsi="Times New Roman"/>
          <w:b w:val="0"/>
          <w:i/>
          <w:sz w:val="24"/>
        </w:rPr>
        <w:t>magnitude</w:t>
      </w:r>
      <w:r>
        <w:rPr>
          <w:rFonts w:ascii="Times New Roman" w:hAnsi="Times New Roman"/>
          <w:b w:val="0"/>
          <w:i w:val="0"/>
          <w:sz w:val="24"/>
        </w:rPr>
        <w:t xml:space="preserve"> of associations may vary: continuous operationalizations can detect gradients across the full distribution, whereas binary categorizations (e.g., university degree vs. lower) necessarily focus on a single threshold. As discussed in Section 4.4.3 below, distinguishing gradient from threshold effects is a priority for future research, and will require designs that preserve continuous variation across the full education distribution.</w:t>
      </w:r>
    </w:p>
    <w:p>
      <w:pPr>
        <w:jc w:val="left"/>
        <w:spacing w:before="0" w:after="120" w:line="480" w:lineRule="auto"/>
      </w:pPr>
      <w:r>
        <w:rPr>
          <w:rFonts w:ascii="Times New Roman" w:hAnsi="Times New Roman"/>
          <w:b w:val="0"/>
          <w:i w:val="0"/>
          <w:sz w:val="24"/>
        </w:rPr>
        <w:t>One finding within this review warrants specific attention as a case where the association was present at nominal significance but did not survive correction for multiple comparisons. Brito &amp; Noble (2020) reported that parental education was positively associated with posterior alpha/beta EEG power in 6–12-month-old infants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but this association did not survive false-discovery rate (FDR) correction across the full set of frequency-band and electrode comparisons tested. The study is classified as positive in Table 1 on the basis of its nominally significant, correctly-directed association, but the failure to survive FDR correction means the finding should be interpreted with caution and weighted accordingly. Its failure to survive FDR correction more likely reflects the combination of a relatively small effect size and the inferential cost of testing multiple outcomes simultaneously, rather than a genuine absence of association—but this cannot be ruled out. The Brito &amp; Noble (2020) sample spanned the full SES range and used a composite-separable operationalization of parental education controlling for income and other SES indicators, making sample restriction an unlikely explanation for the attenuated result. This suggests that EEG power during the 6–12-month period may be a less sensitive neural index of parental education than white matter microstructure (detectable at the same age in Turesky et al., 2022), possibly because alpha oscillations are still in a relatively undifferentiated state at 6–12 months and individual differences attributable to environmental factors are not yet reliably captured by power metrics at the scalp surface. Future studies with larger samples and pre-specified primary outcomes would clarify whether this result reflects a true absence of an EEG power association at this age or a power limitation of the existing literature.</w:t>
      </w:r>
    </w:p>
    <w:p>
      <w:pPr>
        <w:pStyle w:val="Heading2"/>
        <w:spacing w:before="200" w:after="40" w:line="360" w:lineRule="auto"/>
      </w:pPr>
      <w:r>
        <w:rPr>
          <w:rFonts w:ascii="Times New Roman" w:hAnsi="Times New Roman"/>
          <w:b/>
          <w:sz w:val="26"/>
        </w:rPr>
        <w:t>4.4 Mechanistic pathways: what the evidence constrains</w:t>
      </w:r>
    </w:p>
    <w:p>
      <w:pPr>
        <w:pStyle w:val="Heading3"/>
        <w:spacing w:before="160" w:after="40" w:line="360" w:lineRule="auto"/>
      </w:pPr>
      <w:r>
        <w:rPr>
          <w:rFonts w:ascii="Times New Roman" w:hAnsi="Times New Roman"/>
          <w:b/>
          <w:sz w:val="24"/>
        </w:rPr>
        <w:t>4.4.1 The only direct mediation test</w:t>
      </w:r>
    </w:p>
    <w:p>
      <w:pPr>
        <w:jc w:val="left"/>
        <w:spacing w:before="0" w:after="120" w:line="480" w:lineRule="auto"/>
      </w:pPr>
      <w:r>
        <w:rPr>
          <w:rFonts w:ascii="Times New Roman" w:hAnsi="Times New Roman"/>
          <w:b w:val="0"/>
          <w:i w:val="0"/>
          <w:sz w:val="24"/>
        </w:rPr>
        <w:t>Among the 16 included studies, Ursache &amp; Noble (2016) uniquely tested a direct mediation pathway, demonstrating that white matter microstructure in frontoparietal tracts partially mediated the association between parental education and executive function performance. This constitutes the only direct neural mechanism evidence in the current evidence base; all other mechanistic accounts remain inferential from indirect evidence.</w:t>
      </w:r>
    </w:p>
    <w:p>
      <w:pPr>
        <w:pStyle w:val="Heading3"/>
        <w:spacing w:before="160" w:after="40" w:line="360" w:lineRule="auto"/>
      </w:pPr>
      <w:r>
        <w:rPr>
          <w:rFonts w:ascii="Times New Roman" w:hAnsi="Times New Roman"/>
          <w:b/>
          <w:sz w:val="24"/>
        </w:rPr>
        <w:t>4.4.2 Prenatal mechanisms are a necessary component</w:t>
      </w:r>
    </w:p>
    <w:p>
      <w:pPr>
        <w:jc w:val="left"/>
        <w:spacing w:before="0" w:after="120" w:line="480" w:lineRule="auto"/>
      </w:pPr>
      <w:r>
        <w:rPr>
          <w:rFonts w:ascii="Times New Roman" w:hAnsi="Times New Roman"/>
          <w:b w:val="0"/>
          <w:i w:val="0"/>
          <w:sz w:val="24"/>
        </w:rPr>
        <w:t>Three studies measured neural outcomes in the neonatal period, prior to the accumulation of substantial postnatal environmental experience. Most directly, Ramphal et al. (2020) detected parental education associations with amygdala–prefrontal functional connectivity in full-term neonates scanned within four days of birth—a window too brief for postnatal language or caregiving inputs to have shaped functional brain connectivity, implying that fetal programming is a necessary component of the observed association. McKinnon et al. (2023), measuring neonatal brain morphology at term-equivalent age in a mixed preterm and full-term cohort after several weeks of NICU care for the preterm infants, similarly found that maternal education was associated with regional brain volumes before meaningful independent learning experience had accumulated. Konrad et al. (2024), studying 162 very preterm neonates with two MRI acquisitions spanning the NICU period, found that maternal education moderated the relationship between neonatal hippocampal development and 18-month cognitive outcome—demonstrating that the functional significance of early hippocampal organization is already shaped by maternal education within the preterm period, before substantial independent postnatal experience accrues. Together, these neonatal findings constrain the mechanistic account: cognitive stimulation and language input pathways can explain post-birth associations, but cannot account for differences already present at birth. Prenatal exposure mechanisms—including gestational stress, fetal cortisol exposure, and nutritional differences—are therefore necessary rather than optional components of any complete mechanistic model.</w:t>
      </w:r>
    </w:p>
    <w:p>
      <w:pPr>
        <w:pStyle w:val="Heading3"/>
        <w:spacing w:before="160" w:after="40" w:line="360" w:lineRule="auto"/>
      </w:pPr>
      <w:r>
        <w:rPr>
          <w:rFonts w:ascii="Times New Roman" w:hAnsi="Times New Roman"/>
          <w:b/>
          <w:sz w:val="24"/>
        </w:rPr>
        <w:t>4.4.3 The gradient versus threshold question: what the current evidence permits</w:t>
      </w:r>
    </w:p>
    <w:p>
      <w:pPr>
        <w:jc w:val="left"/>
        <w:spacing w:before="0" w:after="120" w:line="480" w:lineRule="auto"/>
      </w:pPr>
      <w:r>
        <w:rPr>
          <w:rFonts w:ascii="Times New Roman" w:hAnsi="Times New Roman"/>
          <w:b w:val="0"/>
          <w:i w:val="0"/>
          <w:sz w:val="24"/>
        </w:rPr>
        <w:t>A central theoretical question in this literature, raised prominently by Noble et al. (2015) in a large structural MRI study, is whether the association between SES and brain development follows a full-range linear gradient—with advantages accruing at every increment of the education distribution—or whether effects are concentrated at the lower end, reflecting a deprivation threshold below which neural development is compromised. No included study in the present review directly tested for non-linear effects; all 16 studies modelled parental education as a continuous linear predictor or as a simple categorical comparison. A definitive empirical resolution of the gradient versus threshold debate for parental education in the 0–8 year age range therefore awaits studies that explicitly model non-linearity. However, the current evidence is not entirely agnostic between the two models.</w:t>
      </w:r>
    </w:p>
    <w:p>
      <w:pPr>
        <w:jc w:val="left"/>
        <w:spacing w:before="0" w:after="120" w:line="480" w:lineRule="auto"/>
      </w:pPr>
      <w:r>
        <w:rPr>
          <w:rFonts w:ascii="Times New Roman" w:hAnsi="Times New Roman"/>
          <w:b w:val="0"/>
          <w:i w:val="0"/>
          <w:sz w:val="24"/>
        </w:rPr>
        <w:t xml:space="preserve">Three features of the reviewed evidence offer indirect support for a gradient rather than a pure deprivation threshold. First, the two studies using full-range continuous education samples—Brito &amp; Noble (2020; </w:t>
      </w:r>
      <w:r>
        <w:rPr>
          <w:rFonts w:ascii="Times New Roman" w:hAnsi="Times New Roman"/>
          <w:b w:val="0"/>
          <w:i/>
          <w:sz w:val="24"/>
        </w:rPr>
        <w:t>β</w:t>
      </w:r>
      <w:r>
        <w:rPr>
          <w:rFonts w:ascii="Times New Roman" w:hAnsi="Times New Roman"/>
          <w:b w:val="0"/>
          <w:i w:val="0"/>
          <w:sz w:val="24"/>
        </w:rPr>
        <w:t xml:space="preserve"> = 0.05 for posterior EEG power, sample spanning &lt; high school to graduate degree) and Ozernov-Palchik et al. (2019; </w:t>
      </w:r>
      <w:r>
        <w:rPr>
          <w:rFonts w:ascii="Times New Roman" w:hAnsi="Times New Roman"/>
          <w:b w:val="0"/>
          <w:i/>
          <w:sz w:val="24"/>
        </w:rPr>
        <w:t>r</w:t>
      </w:r>
      <w:r>
        <w:rPr>
          <w:rFonts w:ascii="Times New Roman" w:hAnsi="Times New Roman"/>
          <w:b w:val="0"/>
          <w:i w:val="0"/>
          <w:sz w:val="24"/>
        </w:rPr>
        <w:t xml:space="preserve"> = 0.33 for arcuate FA, sample spanning &lt; high school to graduate degree)—both detected effects that were modelled as linear associations across the full education distribution, not as categorical contrasts restricted to the lowest-educated group. If effects were concentrated exclusively at the deprivation end, one would not expect continuous linear associations to reach significance in these full-range samples; their presence is more consistent with a gradient account, though the linear model does not preclude additional non-linearity at the lower tail. Second, Ozernov-Palchik et al. (2019) explicitly controlled for household income when modelling the education–white matter association (</w:t>
      </w:r>
      <w:r>
        <w:rPr>
          <w:rFonts w:ascii="Times New Roman" w:hAnsi="Times New Roman"/>
          <w:b w:val="0"/>
          <w:i/>
          <w:sz w:val="24"/>
        </w:rPr>
        <w:t>r</w:t>
      </w:r>
      <w:r>
        <w:rPr>
          <w:rFonts w:ascii="Times New Roman" w:hAnsi="Times New Roman"/>
          <w:b w:val="0"/>
          <w:i w:val="0"/>
          <w:sz w:val="24"/>
        </w:rPr>
        <w:t xml:space="preserve"> = 0.33 after income control), and the effect persisted across the full range. Pure deprivation threshold accounts predict that effects diminish sharply or disappear once income is controlled, because it is material deprivation rather than education per se that drives neural compromise; the persistence of the education signal across the distribution is more consistent with a gradient mechanism operating via language input quality at every education level. Third, the DTI findings in Turesky et al. (2022)—detected in infants from a sample not restricted to low-SES families—similarly suggest that education-related differences in arcuate fasciculus development are not confined to an extreme lower tail. Taken together, these observations are consistent with a gradient interpretation, while acknowledging that none of the studies was designed to test this question directly.</w:t>
      </w:r>
    </w:p>
    <w:p>
      <w:pPr>
        <w:jc w:val="left"/>
        <w:spacing w:before="0" w:after="120" w:line="480" w:lineRule="auto"/>
      </w:pPr>
      <w:r>
        <w:rPr>
          <w:rFonts w:ascii="Times New Roman" w:hAnsi="Times New Roman"/>
          <w:b w:val="0"/>
          <w:i w:val="0"/>
          <w:sz w:val="24"/>
        </w:rPr>
        <w:t>Resolving the gradient versus threshold question definitively will require studies that either deliberately oversample the lower end of the education distribution to increase statistical power to detect threshold effects, or that explicitly model polynomial or spline terms in the education–brain relationship in large full-range samples. This represents a critical design priority for future neuroimaging research, given the distinct policy implications of the two models: a gradient implies that interventions at every level of disadvantage may yield neural benefits, whereas a threshold model prioritises resources for the most deprived families.</w:t>
      </w:r>
    </w:p>
    <w:p>
      <w:pPr>
        <w:pStyle w:val="Heading2"/>
        <w:spacing w:before="200" w:after="40" w:line="360" w:lineRule="auto"/>
      </w:pPr>
      <w:r>
        <w:rPr>
          <w:rFonts w:ascii="Times New Roman" w:hAnsi="Times New Roman"/>
          <w:b/>
          <w:sz w:val="26"/>
        </w:rPr>
        <w:t>4.5 Cross-modal convergence and neural systems</w:t>
      </w:r>
    </w:p>
    <w:p>
      <w:pPr>
        <w:jc w:val="left"/>
        <w:spacing w:before="0" w:after="120" w:line="480" w:lineRule="auto"/>
      </w:pPr>
      <w:r>
        <w:rPr>
          <w:rFonts w:ascii="Times New Roman" w:hAnsi="Times New Roman"/>
          <w:b w:val="0"/>
          <w:i w:val="0"/>
          <w:sz w:val="24"/>
        </w:rPr>
        <w:t>The convergence of parental education associations across frontal and temporal neural systems—regardless of modality—supports a coherent account centered on prefrontal and perisylvian circuitry. In ERP studies, findings were heterogeneous across the two included studies: Conejero et al. (2018) found larger ERN amplitude at fronto-central electrodes associated with higher parental education, consistent with more advanced error-monitoring development; Wienke et al. (2024), using an MMN paradigm targeting auditory discrimination, produced the review's only negative result. The ERP evidence therefore does not converge on a consistent pattern, and this modality is noted here for completeness rather than as evidence of cross-modal convergence. In fNIRS, greater inferior frontal gyrus activation was found. In fMRI, effects clustered in medial prefrontal cortex (amygdala–PFC connectivity) and left inferior frontal gyrus (language network). In DTI, the arcuate fasciculus—projecting between inferior frontal and superior temporal cortex—was the most consistently implicated tract. In structural MRI, effects included frontal, parietal, and temporal surface area. Together, these findings converge on a fronto-temporal network encompassing language-processing regions (Broca's area, Wernicke's area, arcuate fasciculus) and executive/affective regulation regions (anterior cingulate, medial prefrontal cortex).</w:t>
      </w:r>
    </w:p>
    <w:p>
      <w:pPr>
        <w:jc w:val="left"/>
        <w:spacing w:before="0" w:after="120" w:line="480" w:lineRule="auto"/>
      </w:pPr>
      <w:r>
        <w:rPr>
          <w:rFonts w:ascii="Times New Roman" w:hAnsi="Times New Roman"/>
          <w:b w:val="0"/>
          <w:i w:val="0"/>
          <w:sz w:val="24"/>
        </w:rPr>
        <w:t>This convergence is theoretically coherent: language and executive function are the behavioral domains most consistently linked to parental education in behavioral and developmental studies (Hoff, 2013; Blair &amp; Raver, 2016), and the neural systems implicated here are the substrates of precisely those capacities. The cross-modal evidence thus provides a mechanistically coherent account of how parental education is translated from an environmental input into an outcome measurable at the behavioral level.</w:t>
      </w:r>
    </w:p>
    <w:p>
      <w:pPr>
        <w:pStyle w:val="Heading2"/>
        <w:spacing w:before="200" w:after="40" w:line="360" w:lineRule="auto"/>
      </w:pPr>
      <w:r>
        <w:rPr>
          <w:rFonts w:ascii="Times New Roman" w:hAnsi="Times New Roman"/>
          <w:b/>
          <w:sz w:val="26"/>
        </w:rPr>
        <w:t>4.6 Limitations and future directions</w:t>
      </w:r>
    </w:p>
    <w:p>
      <w:pPr>
        <w:jc w:val="left"/>
        <w:spacing w:before="0" w:after="120" w:line="480" w:lineRule="auto"/>
      </w:pPr>
      <w:r>
        <w:rPr>
          <w:rFonts w:ascii="Times New Roman" w:hAnsi="Times New Roman"/>
          <w:b w:val="0"/>
          <w:i w:val="0"/>
          <w:sz w:val="24"/>
        </w:rPr>
        <w:t>Several limitations of the reviewed evidence base warrant explicit acknowledgment.</w:t>
      </w:r>
    </w:p>
    <w:p>
      <w:pPr>
        <w:jc w:val="left"/>
        <w:spacing w:before="0" w:after="120" w:line="480" w:lineRule="auto"/>
      </w:pPr>
      <w:r>
        <w:rPr>
          <w:rFonts w:ascii="Times New Roman" w:hAnsi="Times New Roman"/>
          <w:b w:val="0"/>
          <w:i w:val="0"/>
          <w:sz w:val="24"/>
        </w:rPr>
        <w:t>The most variable feature across studies was how parental education was measured. Across 16 studies, parental education was operationalized in at least six distinct ways (maternal years, paternal years, mean parental years, highest parental level, binary degree attainment, composite-separable). Notably, 7 of 16 studies operationalized education specifically as maternal education; the remaining 9 studies used a combined or highest-parental measure. The theoretical mechanisms proposed in this review—language input quality, caregiver sensitivity, stress buffering—differ systematically for maternal versus paternal education, and it remains unclear whether paternal education confers independent neural advantages beyond those associated with maternal education. Where this review's findings reflect primarily maternal education associations (7 studies), caution is warranted in generalising conclusions to paternal or combined-parental education effects. This heterogeneity also limits the precision of conclusions about dose–response relationships and makes it impossible to determine whether specific thresholds of educational attainment (e.g., university degree) confer qualitatively different advantages than incremental differences within lower educational levels.</w:t>
      </w:r>
    </w:p>
    <w:p>
      <w:pPr>
        <w:jc w:val="left"/>
        <w:spacing w:before="0" w:after="120" w:line="480" w:lineRule="auto"/>
      </w:pPr>
      <w:r>
        <w:rPr>
          <w:rFonts w:ascii="Times New Roman" w:hAnsi="Times New Roman"/>
          <w:b w:val="0"/>
          <w:i w:val="0"/>
          <w:sz w:val="24"/>
        </w:rPr>
        <w:t>No included study directly measured the hypothesized mediating variables alongside neural outcomes. As noted in Section 3.6, the mechanistic pathways proposed—cognitive stimulation and stress reduction—remain inferential from indirect evidence. Specifically designed studies coupling home language environment measurement (e.g., LENA recording; Gilkerson et al., 2017), caregiver stress biomarkers, and longitudinal neural assessment are needed to formally test the mechanistic chains.</w:t>
      </w:r>
    </w:p>
    <w:p>
      <w:pPr>
        <w:jc w:val="left"/>
        <w:spacing w:before="0" w:after="120" w:line="480" w:lineRule="auto"/>
      </w:pPr>
      <w:r>
        <w:rPr>
          <w:rFonts w:ascii="Times New Roman" w:hAnsi="Times New Roman"/>
          <w:b w:val="0"/>
          <w:i w:val="0"/>
          <w:sz w:val="24"/>
        </w:rPr>
        <w:t>Geographic and cultural concentration is a further limitation. Despite spanning 10 countries or regions, the included studies are heavily concentrated in high-income Western contexts, particularly the United States, United Kingdom, and Canada (10 of 16 studies). Only one study (Wijeakumar et al., 2019) included a sample from a low- or middle-income country, and its cross-cultural design precluded direct inference about non-Western contexts in isolation. The systematic search was also restricted to English-language publications, further limiting coverage of research published in other languages, including Chinese, which would be essential for capturing the substantial and growing neurodevelopmental literature from China. The generalizability of findings to non-Western, non-English-speaking, and low-income country contexts is therefore unknown, and should not be assumed.</w:t>
      </w:r>
    </w:p>
    <w:p>
      <w:pPr>
        <w:jc w:val="left"/>
        <w:spacing w:before="0" w:after="120" w:line="480" w:lineRule="auto"/>
      </w:pPr>
      <w:r>
        <w:rPr>
          <w:rFonts w:ascii="Times New Roman" w:hAnsi="Times New Roman"/>
          <w:b w:val="0"/>
          <w:i w:val="0"/>
          <w:sz w:val="24"/>
        </w:rPr>
        <w:t xml:space="preserve">Several included studies had samples of fewer than 50 children (Stiver et al., 2015, </w:t>
      </w:r>
      <w:r>
        <w:rPr>
          <w:rFonts w:ascii="Times New Roman" w:hAnsi="Times New Roman"/>
          <w:b w:val="0"/>
          <w:i/>
          <w:sz w:val="24"/>
        </w:rPr>
        <w:t>N</w:t>
      </w:r>
      <w:r>
        <w:rPr>
          <w:rFonts w:ascii="Times New Roman" w:hAnsi="Times New Roman"/>
          <w:b w:val="0"/>
          <w:i w:val="0"/>
          <w:sz w:val="24"/>
        </w:rPr>
        <w:t xml:space="preserve"> = 26; Wijeakumar et al., 2019, </w:t>
      </w:r>
      <w:r>
        <w:rPr>
          <w:rFonts w:ascii="Times New Roman" w:hAnsi="Times New Roman"/>
          <w:b w:val="0"/>
          <w:i/>
          <w:sz w:val="24"/>
        </w:rPr>
        <w:t>N</w:t>
      </w:r>
      <w:r>
        <w:rPr>
          <w:rFonts w:ascii="Times New Roman" w:hAnsi="Times New Roman"/>
          <w:b w:val="0"/>
          <w:i w:val="0"/>
          <w:sz w:val="24"/>
        </w:rPr>
        <w:t xml:space="preserve"> = 35; Demir-Lira et al., 2021, </w:t>
      </w:r>
      <w:r>
        <w:rPr>
          <w:rFonts w:ascii="Times New Roman" w:hAnsi="Times New Roman"/>
          <w:b w:val="0"/>
          <w:i/>
          <w:sz w:val="24"/>
        </w:rPr>
        <w:t>N</w:t>
      </w:r>
      <w:r>
        <w:rPr>
          <w:rFonts w:ascii="Times New Roman" w:hAnsi="Times New Roman"/>
          <w:b w:val="0"/>
          <w:i w:val="0"/>
          <w:sz w:val="24"/>
        </w:rPr>
        <w:t xml:space="preserve"> = 42), limiting statistical power and increasing the risk of inflated effect size estimates via winner's curse (Button et al., 2013). Future studies should target sample sizes of ≥100 in any single neural modality and ideally use pre-registered, adequately powered designs.</w:t>
      </w:r>
    </w:p>
    <w:p>
      <w:pPr>
        <w:jc w:val="left"/>
        <w:spacing w:before="0" w:after="120" w:line="480" w:lineRule="auto"/>
      </w:pPr>
      <w:r>
        <w:rPr>
          <w:rFonts w:ascii="Times New Roman" w:hAnsi="Times New Roman"/>
          <w:b w:val="0"/>
          <w:i w:val="0"/>
          <w:sz w:val="24"/>
        </w:rPr>
        <w:t>While all included studies controlled for at least some confounders, none controlled for the full set of variables that may co-vary with parental education and neural outcomes—including prenatal healthcare quality, gestational complications, postnatal nutrition, childcare quality, and the child's own emerging cognitive capacities. Residual confounding remains a plausible alternative explanation for some effect estimates.</w:t>
      </w:r>
    </w:p>
    <w:p>
      <w:pPr>
        <w:jc w:val="left"/>
        <w:spacing w:before="0" w:after="120" w:line="480" w:lineRule="auto"/>
      </w:pPr>
      <w:r>
        <w:rPr>
          <w:rFonts w:ascii="Times New Roman" w:hAnsi="Times New Roman"/>
          <w:b w:val="0"/>
          <w:i w:val="0"/>
          <w:sz w:val="24"/>
        </w:rPr>
        <w:t>The possibility of publication bias cannot be formally evaluated in the absence of a quantitative meta-analysis; funnel plot asymmetry tests and Egger's test are not applicable to narrative syntheses. However, the high proportion of positive findings (15 of 16 studies, 94%) may partly reflect selective publication of studies reporting significant associations between parental education and neural outcomes, as null findings in this literature are less likely to be submitted or accepted for publication. This risk is compounded by the restriction of the search to English-language databases, which may systematically under-represent null or negative findings published in other languages. The small sample sizes characteristic of neuroimaging studies further increase the risk of inflated effect size estimates in published work (Button et al., 2013). Readers should therefore interpret the observed directional consistency as suggestive of a genuine environmental signal, while acknowledging that the true proportion of null associations in the unpublished literature is unknown.</w:t>
      </w:r>
    </w:p>
    <w:p>
      <w:pPr>
        <w:jc w:val="left"/>
        <w:spacing w:before="0" w:after="120" w:line="480" w:lineRule="auto"/>
      </w:pPr>
      <w:r>
        <w:rPr>
          <w:rFonts w:ascii="Times New Roman" w:hAnsi="Times New Roman"/>
          <w:b w:val="0"/>
          <w:i w:val="0"/>
          <w:sz w:val="24"/>
        </w:rPr>
        <w:t>The requirement that parental education have an independently estimable regression coefficient introduces a second, distinct form of selection bias. Studies in which parental education showed no independent association with neural outcomes are more likely to have operationalized education as part of a composite index without a separately reported coefficient—and thus be excluded under the E2 criterion. The high positive rate observed in this review may therefore partly reflect the structure of the inclusion criterion rather than solely the biological reality. This source of selection bias is conceptually separable from publication bias: it operates at the level of how parental education was modelled (and thus reported) rather than at the level of whether null studies were submitted for publication. Readers should interpret the directional consistency with awareness that the reviewed evidence base is necessarily drawn from studies in which an independent education signal was sufficiently prominent to be modelled and reported separately, and that both publication bias and inclusion-criterion selection may jointly contribute to the observed proportion of positive findings.</w:t>
      </w:r>
    </w:p>
    <w:p>
      <w:pPr>
        <w:jc w:val="left"/>
        <w:spacing w:before="0" w:after="120" w:line="480" w:lineRule="auto"/>
      </w:pPr>
      <w:r>
        <w:rPr>
          <w:rFonts w:ascii="Times New Roman" w:hAnsi="Times New Roman"/>
          <w:b w:val="0"/>
          <w:i w:val="0"/>
          <w:sz w:val="24"/>
        </w:rPr>
        <w:t>All included studies employed observational designs that cannot rule out genetic confounding via passive gene–environment correlation. Parental education is moderately heritable (~40%), and children of more educated parents inherit both genetic predispositions for cognitive development and enriched environments (Plomin et al., 2013; Branigan et al., 2013). None of the included studies used designs—such as monozygotic twin comparisons, adoption studies, or polygenic score-controlled analyses—that could disentangle genetic from environmental pathways. The observed neural associations may therefore partly reflect shared genetic variance between parent and child rather than purely environmental transmission. Future studies employing genetically informed designs would substantially strengthen causal inference.</w:t>
      </w:r>
    </w:p>
    <w:p>
      <w:pPr>
        <w:jc w:val="left"/>
        <w:spacing w:before="0" w:after="120" w:line="480" w:lineRule="auto"/>
      </w:pPr>
      <w:r>
        <w:rPr>
          <w:rFonts w:ascii="Times New Roman" w:hAnsi="Times New Roman"/>
          <w:b w:val="0"/>
          <w:i w:val="0"/>
          <w:sz w:val="24"/>
        </w:rPr>
        <w:t>Future research priorities identified by this review include: (1) neonatal and infant studies with prospective prenatal education assessment and direct biological pathway measurement (cortisol, language input); (2) studies in East Asian, South Asian, and sub-Saharan African samples with diverse educational systems; (3) multi-site, pre-registered longitudinal designs with sample sizes of ≥200 per wave (Knudsen et al., 2006); and (4) intervention studies—ideally randomized—examining whether parenting programmes targeting language enrichment or stress reduction in low-education families produce detectable changes in neural markers.</w:t>
      </w:r>
    </w:p>
    <w:p>
      <w:pPr>
        <w:jc w:val="left"/>
        <w:spacing w:before="0" w:after="120" w:line="480" w:lineRule="auto"/>
      </w:pPr>
      <w:r>
        <w:rPr>
          <w:rFonts w:ascii="Times New Roman" w:hAnsi="Times New Roman"/>
          <w:b w:val="0"/>
          <w:i w:val="0"/>
          <w:sz w:val="24"/>
        </w:rPr>
        <w:t>Finally, this review was not pre-registered in PROSPERO. As a narrative synthesis without a prospective analysis protocol, formal registration was not completed prior to data collection; this is acknowledged as a limitation in line with PRISMA 2020 transparency standards.</w:t>
      </w:r>
    </w:p>
    <w:p>
      <w:pPr>
        <w:pStyle w:val="Heading2"/>
        <w:spacing w:before="200" w:after="40" w:line="360" w:lineRule="auto"/>
      </w:pPr>
      <w:r>
        <w:rPr>
          <w:rFonts w:ascii="Times New Roman" w:hAnsi="Times New Roman"/>
          <w:b/>
          <w:sz w:val="26"/>
        </w:rPr>
        <w:t>4.7 Conclusions</w:t>
      </w:r>
    </w:p>
    <w:p>
      <w:pPr>
        <w:jc w:val="left"/>
        <w:spacing w:before="0" w:after="120" w:line="480" w:lineRule="auto"/>
      </w:pPr>
      <w:r>
        <w:rPr>
          <w:rFonts w:ascii="Times New Roman" w:hAnsi="Times New Roman"/>
          <w:b w:val="0"/>
          <w:i w:val="0"/>
          <w:sz w:val="24"/>
        </w:rPr>
        <w:t>This systematic review provides the most comprehensive cross-modal synthesis to date of evidence linking parental education to neural development in early childhood. The evidence base—spanning EEG, ERP, fNIRS, fMRI, DTI, and structural MRI across the neonatal to school-age period—converges on a single conclusion: higher parental education is broadly associated with more advanced neural development, with associations emerging as early as the neonatal period and persisting through middle childhood. Effects are concentrated in language and executive control networks—the neural substrates of the behavioral domains most consistently associated with parental education in the developmental literature.</w:t>
      </w:r>
    </w:p>
    <w:p>
      <w:pPr>
        <w:jc w:val="left"/>
        <w:spacing w:before="0" w:after="120" w:line="480" w:lineRule="auto"/>
      </w:pPr>
      <w:r>
        <w:rPr>
          <w:rFonts w:ascii="Times New Roman" w:hAnsi="Times New Roman"/>
          <w:b w:val="0"/>
          <w:i w:val="0"/>
          <w:sz w:val="24"/>
        </w:rPr>
        <w:t>These findings carry implications for early childhood policy. If the parental education gradient in brain development begins prenatally and widens through the first years of life, then policy approaches restricted to school-age intervention are unlikely to address the root neural mechanisms. Prenatal and perinatal support programmes targeting the quality of the home learning environment—language enrichment, caregiver stress management, and responsive caregiving—may be necessary to reduce socioeconomic disparities in neural development before they become consolidated. Parental education deserves treatment not merely as a demographic control variable in neurodevelopmental research, but as a substantive predictor of the environmental inputs that shape the developing brain.</w:t>
      </w:r>
    </w:p>
    <w:p>
      <w:r>
        <w:br w:type="page"/>
      </w:r>
    </w:p>
    <w:p>
      <w:pPr>
        <w:pStyle w:val="Heading1"/>
        <w:spacing w:before="240" w:after="60" w:line="360" w:lineRule="auto"/>
      </w:pPr>
      <w:r>
        <w:rPr>
          <w:rFonts w:ascii="Times New Roman" w:hAnsi="Times New Roman"/>
          <w:b/>
          <w:sz w:val="28"/>
        </w:rPr>
        <w:t>Declarations</w:t>
      </w:r>
    </w:p>
    <w:p>
      <w:pPr>
        <w:jc w:val="left"/>
        <w:spacing w:before="0" w:after="120" w:line="480" w:lineRule="auto"/>
      </w:pPr>
      <w:r>
        <w:rPr>
          <w:rFonts w:ascii="Times New Roman" w:hAnsi="Times New Roman"/>
          <w:b/>
          <w:i w:val="0"/>
          <w:sz w:val="24"/>
        </w:rPr>
        <w:t>Ethics approval and consent to participate.</w:t>
      </w:r>
      <w:r>
        <w:rPr>
          <w:rFonts w:ascii="Times New Roman" w:hAnsi="Times New Roman"/>
          <w:b w:val="0"/>
          <w:i w:val="0"/>
          <w:sz w:val="24"/>
        </w:rPr>
        <w:t xml:space="preserve"> This study is a systematic review of previously published literature and did not involve primary data collection from human participants. Accordingly, ethics committee approval and informed consent were not required.</w:t>
      </w:r>
    </w:p>
    <w:p>
      <w:pPr>
        <w:jc w:val="left"/>
        <w:spacing w:before="0" w:after="120" w:line="480" w:lineRule="auto"/>
      </w:pPr>
      <w:r>
        <w:rPr>
          <w:rFonts w:ascii="Times New Roman" w:hAnsi="Times New Roman"/>
          <w:b/>
          <w:i w:val="0"/>
          <w:sz w:val="24"/>
        </w:rPr>
        <w:t>Conflict of interest.</w:t>
      </w:r>
      <w:r>
        <w:rPr>
          <w:rFonts w:ascii="Times New Roman" w:hAnsi="Times New Roman"/>
          <w:b w:val="0"/>
          <w:i w:val="0"/>
          <w:sz w:val="24"/>
        </w:rPr>
        <w:t xml:space="preserve"> The authors declare no conflict of interest.</w:t>
      </w:r>
    </w:p>
    <w:p>
      <w:pPr>
        <w:jc w:val="left"/>
        <w:spacing w:before="0" w:after="120" w:line="480" w:lineRule="auto"/>
      </w:pPr>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 in the public, commercial, or not-for-profit sectors.</w:t>
      </w:r>
    </w:p>
    <w:p>
      <w:pPr>
        <w:jc w:val="left"/>
        <w:spacing w:before="0" w:after="120" w:line="480" w:lineRule="auto"/>
      </w:pPr>
      <w:r>
        <w:rPr>
          <w:rFonts w:ascii="Times New Roman" w:hAnsi="Times New Roman"/>
          <w:b/>
          <w:i w:val="0"/>
          <w:sz w:val="24"/>
        </w:rPr>
        <w:t>Data availability.</w:t>
      </w:r>
      <w:r>
        <w:rPr>
          <w:rFonts w:ascii="Times New Roman" w:hAnsi="Times New Roman"/>
          <w:b w:val="0"/>
          <w:i w:val="0"/>
          <w:sz w:val="24"/>
        </w:rPr>
        <w:t xml:space="preserve"> The data extraction table supporting the findings of this review is available from the corresponding author upon reasonable request.</w:t>
      </w:r>
    </w:p>
    <w:p>
      <w:r>
        <w:br w:type="page"/>
      </w:r>
    </w:p>
    <w:p>
      <w:pPr>
        <w:pStyle w:val="Heading1"/>
        <w:spacing w:before="240" w:after="60" w:line="360" w:lineRule="auto"/>
      </w:pPr>
      <w:r>
        <w:rPr>
          <w:rFonts w:ascii="Times New Roman" w:hAnsi="Times New Roman"/>
          <w:b/>
          <w:sz w:val="28"/>
        </w:rPr>
        <w:t>References</w:t>
      </w:r>
    </w:p>
    <w:p>
      <w:pPr>
        <w:jc w:val="left"/>
        <w:spacing w:before="0" w:after="120" w:line="480" w:lineRule="auto"/>
      </w:pPr>
      <w:r>
        <w:rPr>
          <w:rFonts w:ascii="Times New Roman" w:hAnsi="Times New Roman"/>
          <w:b w:val="0"/>
          <w:i w:val="0"/>
          <w:sz w:val="24"/>
        </w:rPr>
        <w:t xml:space="preserve">Blair, C., &amp; Raver, C. C. (2016). Poverty, stress, and brain development: New directions for prevention and intervention. </w:t>
      </w:r>
      <w:r>
        <w:rPr>
          <w:rFonts w:ascii="Times New Roman" w:hAnsi="Times New Roman"/>
          <w:b w:val="0"/>
          <w:i/>
          <w:sz w:val="24"/>
        </w:rPr>
        <w:t>Academic Pediatrics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(3 Suppl), S30–S36. https://doi.org/10.1016/j.acap.2016.01.010</w:t>
      </w:r>
    </w:p>
    <w:p>
      <w:pPr>
        <w:jc w:val="left"/>
        <w:spacing w:before="0" w:after="120" w:line="480" w:lineRule="auto"/>
      </w:pPr>
      <w:r>
        <w:rPr>
          <w:rFonts w:ascii="Times New Roman" w:hAnsi="Times New Roman"/>
          <w:b w:val="0"/>
          <w:i w:val="0"/>
          <w:sz w:val="24"/>
        </w:rPr>
        <w:t xml:space="preserve">Bradley, R. H., &amp; Corwyn, R. F. (2002). Socioeconomic status and child development.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53</w:t>
      </w:r>
      <w:r>
        <w:rPr>
          <w:rFonts w:ascii="Times New Roman" w:hAnsi="Times New Roman"/>
          <w:b w:val="0"/>
          <w:i w:val="0"/>
          <w:sz w:val="24"/>
        </w:rPr>
        <w:t>, 371–399. https://doi.org/10.1146/annurev.psych.53.100901.135233</w:t>
      </w:r>
    </w:p>
    <w:p>
      <w:pPr>
        <w:jc w:val="left"/>
        <w:spacing w:before="0" w:after="120" w:line="480" w:lineRule="auto"/>
      </w:pPr>
      <w:r>
        <w:rPr>
          <w:rFonts w:ascii="Times New Roman" w:hAnsi="Times New Roman"/>
          <w:b w:val="0"/>
          <w:i w:val="0"/>
          <w:sz w:val="24"/>
        </w:rPr>
        <w:t xml:space="preserve">Branigan, A. R., McCallum, K. J., &amp; Freese, J. (2013). Variation in the heritability of educational attainment: An international meta-analysis. </w:t>
      </w:r>
      <w:r>
        <w:rPr>
          <w:rFonts w:ascii="Times New Roman" w:hAnsi="Times New Roman"/>
          <w:b w:val="0"/>
          <w:i/>
          <w:sz w:val="24"/>
        </w:rPr>
        <w:t>Social Forces</w:t>
      </w:r>
      <w:r>
        <w:rPr>
          <w:rFonts w:ascii="Times New Roman" w:hAnsi="Times New Roman"/>
          <w:b w:val="0"/>
          <w:i w:val="0"/>
          <w:sz w:val="24"/>
        </w:rPr>
        <w:t xml:space="preserve">, </w:t>
      </w:r>
      <w:r>
        <w:rPr>
          <w:rFonts w:ascii="Times New Roman" w:hAnsi="Times New Roman"/>
          <w:b w:val="0"/>
          <w:i/>
          <w:sz w:val="24"/>
        </w:rPr>
        <w:t>92</w:t>
      </w:r>
      <w:r>
        <w:rPr>
          <w:rFonts w:ascii="Times New Roman" w:hAnsi="Times New Roman"/>
          <w:b w:val="0"/>
          <w:i w:val="0"/>
          <w:sz w:val="24"/>
        </w:rPr>
        <w:t>(1), 109–140. https://doi.org/10.1093/sf/sot076</w:t>
      </w:r>
    </w:p>
    <w:p>
      <w:pPr>
        <w:jc w:val="left"/>
        <w:spacing w:before="0" w:after="120" w:line="480" w:lineRule="auto"/>
      </w:pPr>
      <w:r>
        <w:rPr>
          <w:rFonts w:ascii="Times New Roman" w:hAnsi="Times New Roman"/>
          <w:b w:val="0"/>
          <w:i w:val="0"/>
          <w:sz w:val="24"/>
        </w:rPr>
        <w:t xml:space="preserve">Brito, N. H., Troller-Renfree, S. V., Leon-Santos, A., Isler, J. R., Fifer, W. P., &amp; Noble, K. G. (2020). Associations among the home language environment and neural activity during infancy.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43</w:t>
      </w:r>
      <w:r>
        <w:rPr>
          <w:rFonts w:ascii="Times New Roman" w:hAnsi="Times New Roman"/>
          <w:b w:val="0"/>
          <w:i w:val="0"/>
          <w:sz w:val="24"/>
        </w:rPr>
        <w:t>, Article 100780. https://doi.org/10.1016/j.dcn.2020.100780</w:t>
      </w:r>
    </w:p>
    <w:p>
      <w:pPr>
        <w:jc w:val="left"/>
        <w:spacing w:before="0" w:after="120" w:line="480" w:lineRule="auto"/>
      </w:pPr>
      <w:r>
        <w:rPr>
          <w:rFonts w:ascii="Times New Roman" w:hAnsi="Times New Roman"/>
          <w:b w:val="0"/>
          <w:i w:val="0"/>
          <w:sz w:val="24"/>
        </w:rPr>
        <w:t xml:space="preserve">Button, K. S., Ioannidis, J. P. A., Mokrysz, C., Nosek, B. A., Flint, J., Robinson, E. S. J., &amp; Munafò, M. R. (2013). Power failure: Why small sample size undermines the reliability of neuroscience.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(5), 365–376. https://doi.org/10.1038/nrn3475</w:t>
      </w:r>
    </w:p>
    <w:p>
      <w:pPr>
        <w:jc w:val="left"/>
        <w:spacing w:before="0" w:after="120" w:line="480" w:lineRule="auto"/>
      </w:pPr>
      <w:r>
        <w:rPr>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368</w:t>
      </w:r>
      <w:r>
        <w:rPr>
          <w:rFonts w:ascii="Times New Roman" w:hAnsi="Times New Roman"/>
          <w:b w:val="0"/>
          <w:i w:val="0"/>
          <w:sz w:val="24"/>
        </w:rPr>
        <w:t>, l6890. https://doi.org/10.1136/bmj.l6890</w:t>
      </w:r>
    </w:p>
    <w:p>
      <w:pPr>
        <w:jc w:val="left"/>
        <w:spacing w:before="0" w:after="120" w:line="480" w:lineRule="auto"/>
      </w:pPr>
      <w:r>
        <w:rPr>
          <w:rFonts w:ascii="Times New Roman" w:hAnsi="Times New Roman"/>
          <w:b w:val="0"/>
          <w:i w:val="0"/>
          <w:sz w:val="24"/>
        </w:rPr>
        <w:t xml:space="preserve">Catani, M., &amp; Mesulam, M. (2008). The arcuate fasciculus and the disconnection theme in language and aphasia: History and current state. </w:t>
      </w:r>
      <w:r>
        <w:rPr>
          <w:rFonts w:ascii="Times New Roman" w:hAnsi="Times New Roman"/>
          <w:b w:val="0"/>
          <w:i/>
          <w:sz w:val="24"/>
        </w:rPr>
        <w:t>Cortex</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953–961. https://doi.org/10.1016/j.cortex.2008.04.002</w:t>
      </w:r>
    </w:p>
    <w:p>
      <w:pPr>
        <w:jc w:val="left"/>
        <w:spacing w:before="0" w:after="120" w:line="480" w:lineRule="auto"/>
      </w:pPr>
      <w:r>
        <w:rPr>
          <w:rFonts w:ascii="Times New Roman" w:hAnsi="Times New Roman"/>
          <w:b w:val="0"/>
          <w:i w:val="0"/>
          <w:sz w:val="24"/>
        </w:rPr>
        <w:t xml:space="preserve">Conejero, Á., Guerra, S., Abundis-Gutiérrez, A., &amp; Rueda, M. R. (2018). Frontal theta activation associated with error monitoring in toddlers: influence of parental education.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21</w:t>
      </w:r>
      <w:r>
        <w:rPr>
          <w:rFonts w:ascii="Times New Roman" w:hAnsi="Times New Roman"/>
          <w:b w:val="0"/>
          <w:i w:val="0"/>
          <w:sz w:val="24"/>
        </w:rPr>
        <w:t>(3), e12570. https://doi.org/10.1111/desc.12570</w:t>
      </w:r>
    </w:p>
    <w:p>
      <w:pPr>
        <w:jc w:val="left"/>
        <w:spacing w:before="0" w:after="120" w:line="480" w:lineRule="auto"/>
      </w:pPr>
      <w:r>
        <w:rPr>
          <w:rFonts w:ascii="Times New Roman" w:hAnsi="Times New Roman"/>
          <w:b w:val="0"/>
          <w:i w:val="0"/>
          <w:sz w:val="24"/>
        </w:rPr>
        <w:t xml:space="preserve">Davies, P. L., Segalowitz, S. J., &amp; Gavin, W. J. (2004). Development of response-monitoring ERPs in 7- to 25-year-olds.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(3), 355–376. https://doi.org/10.1207/s15326942dn2503_6</w:t>
      </w:r>
    </w:p>
    <w:p>
      <w:pPr>
        <w:jc w:val="left"/>
        <w:spacing w:before="0" w:after="120" w:line="480" w:lineRule="auto"/>
      </w:pPr>
      <w:r>
        <w:rPr>
          <w:rFonts w:ascii="Times New Roman" w:hAnsi="Times New Roman"/>
          <w:b w:val="0"/>
          <w:i w:val="0"/>
          <w:sz w:val="24"/>
        </w:rPr>
        <w:t xml:space="preserve">Davis-Kean, P. E. (2005). The influence of parent education and family income on child achievement: The indirect role of parental expectations and the home environment. </w:t>
      </w:r>
      <w:r>
        <w:rPr>
          <w:rFonts w:ascii="Times New Roman" w:hAnsi="Times New Roman"/>
          <w:b w:val="0"/>
          <w:i/>
          <w:sz w:val="24"/>
        </w:rPr>
        <w:t>Journal of Family Psychology</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(2), 294–304. https://doi.org/10.1037/0893-3200.19.2.294</w:t>
      </w:r>
    </w:p>
    <w:p>
      <w:pPr>
        <w:jc w:val="left"/>
        <w:spacing w:before="0" w:after="120" w:line="480" w:lineRule="auto"/>
      </w:pPr>
      <w:r>
        <w:rPr>
          <w:rFonts w:ascii="Times New Roman" w:hAnsi="Times New Roman"/>
          <w:b w:val="0"/>
          <w:i w:val="0"/>
          <w:sz w:val="24"/>
        </w:rPr>
        <w:t xml:space="preserve">Demir-Lira, Ö. E., Prado, J., &amp; Booth, J. R. (2021). Neurocognitive basis of deductive reasoning in children varies with parental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42</w:t>
      </w:r>
      <w:r>
        <w:rPr>
          <w:rFonts w:ascii="Times New Roman" w:hAnsi="Times New Roman"/>
          <w:b w:val="0"/>
          <w:i w:val="0"/>
          <w:sz w:val="24"/>
        </w:rPr>
        <w:t>(11), 3396–3410. https://doi.org/10.1002/hbm.25441</w:t>
      </w:r>
    </w:p>
    <w:p>
      <w:pPr>
        <w:jc w:val="left"/>
        <w:spacing w:before="0" w:after="120" w:line="480" w:lineRule="auto"/>
      </w:pPr>
      <w:r>
        <w:rPr>
          <w:rFonts w:ascii="Times New Roman" w:hAnsi="Times New Roman"/>
          <w:b w:val="0"/>
          <w:i w:val="0"/>
          <w:sz w:val="24"/>
        </w:rPr>
        <w:t xml:space="preserve">Diamond, A. (2013). Executive functions.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64</w:t>
      </w:r>
      <w:r>
        <w:rPr>
          <w:rFonts w:ascii="Times New Roman" w:hAnsi="Times New Roman"/>
          <w:b w:val="0"/>
          <w:i w:val="0"/>
          <w:sz w:val="24"/>
        </w:rPr>
        <w:t>, 135–168. https://doi.org/10.1146/annurev-psych-113011-143750</w:t>
      </w:r>
    </w:p>
    <w:p>
      <w:pPr>
        <w:jc w:val="left"/>
        <w:spacing w:before="0" w:after="120" w:line="480" w:lineRule="auto"/>
      </w:pPr>
      <w:r>
        <w:rPr>
          <w:rFonts w:ascii="Times New Roman" w:hAnsi="Times New Roman"/>
          <w:b w:val="0"/>
          <w:i w:val="0"/>
          <w:sz w:val="24"/>
        </w:rPr>
        <w:t xml:space="preserve">Duncan, G. J., &amp; Magnuson, K. (2012). Socioeconomic status and cognitive functioning: Moving from correlation to causation. </w:t>
      </w:r>
      <w:r>
        <w:rPr>
          <w:rFonts w:ascii="Times New Roman" w:hAnsi="Times New Roman"/>
          <w:b w:val="0"/>
          <w:i/>
          <w:sz w:val="24"/>
        </w:rPr>
        <w:t>WIREs Cognitive Science</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(4), 377–386. https://doi.org/10.1002/wcs.1185</w:t>
      </w:r>
    </w:p>
    <w:p>
      <w:pPr>
        <w:jc w:val="left"/>
        <w:spacing w:before="0" w:after="120" w:line="480" w:lineRule="auto"/>
      </w:pPr>
      <w:r>
        <w:rPr>
          <w:rFonts w:ascii="Times New Roman" w:hAnsi="Times New Roman"/>
          <w:b w:val="0"/>
          <w:i w:val="0"/>
          <w:sz w:val="24"/>
        </w:rPr>
        <w:t xml:space="preserve">Friederici, A. D. (2016). The ontogeny of the cortical language network.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(5), 323–332. https://doi.org/10.1038/nrn.2016.23</w:t>
      </w:r>
    </w:p>
    <w:p>
      <w:pPr>
        <w:jc w:val="left"/>
        <w:spacing w:before="0" w:after="120" w:line="480" w:lineRule="auto"/>
      </w:pPr>
      <w:r>
        <w:rPr>
          <w:rFonts w:ascii="Times New Roman" w:hAnsi="Times New Roman"/>
          <w:b w:val="0"/>
          <w:i w:val="0"/>
          <w:sz w:val="24"/>
        </w:rPr>
        <w:t xml:space="preserve">Gee, D. G., Gabard-Durnam, L. J., Flannery, J., Goff, B., Humphreys, K. L., Telzer, E. H., Hare, T. A., Bookheimer, S. Y., &amp; Tottenham, N. (2013). Early developmental emergence of human amygdala–prefrontal connectivity after maternal deprivation.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110</w:t>
      </w:r>
      <w:r>
        <w:rPr>
          <w:rFonts w:ascii="Times New Roman" w:hAnsi="Times New Roman"/>
          <w:b w:val="0"/>
          <w:i w:val="0"/>
          <w:sz w:val="24"/>
        </w:rPr>
        <w:t>(39), 15638–15643. https://doi.org/10.1073/pnas.1307893110</w:t>
      </w:r>
    </w:p>
    <w:p>
      <w:pPr>
        <w:jc w:val="left"/>
        <w:spacing w:before="0" w:after="120" w:line="480" w:lineRule="auto"/>
      </w:pPr>
      <w:r>
        <w:rPr>
          <w:rFonts w:ascii="Times New Roman" w:hAnsi="Times New Roman"/>
          <w:b w:val="0"/>
          <w:i w:val="0"/>
          <w:sz w:val="24"/>
        </w:rPr>
        <w:t xml:space="preserve">Gilkerson, J., Richards, J. A., Warren, S. F., Montgomery, J. K., Greenwood, C. R., Kimbrough Oller, D., Hansen, J. H. L., &amp; Paul, T. D. (2017). Mapping the early language environment using all-day recordings and automated analysis. </w:t>
      </w:r>
      <w:r>
        <w:rPr>
          <w:rFonts w:ascii="Times New Roman" w:hAnsi="Times New Roman"/>
          <w:b w:val="0"/>
          <w:i/>
          <w:sz w:val="24"/>
        </w:rPr>
        <w:t>American Journal of Speech-Language Pathology</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(2), 248–265. https://doi.org/10.1044/2016_AJSLP-15-0169</w:t>
      </w:r>
    </w:p>
    <w:p>
      <w:pPr>
        <w:jc w:val="left"/>
        <w:spacing w:before="0" w:after="120" w:line="480" w:lineRule="auto"/>
      </w:pPr>
      <w:r>
        <w:rPr>
          <w:rFonts w:ascii="Times New Roman" w:hAnsi="Times New Roman"/>
          <w:b w:val="0"/>
          <w:i w:val="0"/>
          <w:sz w:val="24"/>
        </w:rPr>
        <w:t xml:space="preserve">Hackman, D. A., &amp; Farah, M. J. (2009). Socioeconomic status and the developing brain. </w:t>
      </w:r>
      <w:r>
        <w:rPr>
          <w:rFonts w:ascii="Times New Roman" w:hAnsi="Times New Roman"/>
          <w:b w:val="0"/>
          <w:i/>
          <w:sz w:val="24"/>
        </w:rPr>
        <w:t>Trends in Cognitive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(2), 65–73. https://doi.org/10.1016/j.tics.2008.11.003</w:t>
      </w:r>
    </w:p>
    <w:p>
      <w:pPr>
        <w:jc w:val="left"/>
        <w:spacing w:before="0" w:after="120" w:line="480" w:lineRule="auto"/>
      </w:pPr>
      <w:r>
        <w:rPr>
          <w:rFonts w:ascii="Times New Roman" w:hAnsi="Times New Roman"/>
          <w:b w:val="0"/>
          <w:i w:val="0"/>
          <w:sz w:val="24"/>
        </w:rPr>
        <w:t xml:space="preserve">Hackman, D. A., Farah, M. J., &amp; Meaney, M. J. (2010). Socioeconomic status and the brain: Mechanistic insights from human and animal research.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651–659. https://doi.org/10.1038/nrn2844</w:t>
      </w:r>
    </w:p>
    <w:p>
      <w:pPr>
        <w:jc w:val="left"/>
        <w:spacing w:before="0" w:after="120" w:line="480" w:lineRule="auto"/>
      </w:pPr>
      <w:r>
        <w:rPr>
          <w:rFonts w:ascii="Times New Roman" w:hAnsi="Times New Roman"/>
          <w:b w:val="0"/>
          <w:i w:val="0"/>
          <w:sz w:val="24"/>
        </w:rPr>
        <w:t xml:space="preserve">Hair, N. L., Hanson, J. L., Wolfe, B. L., &amp; Pollak, S. D. (2015). Association of child poverty, brain development, and academic achievement.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169</w:t>
      </w:r>
      <w:r>
        <w:rPr>
          <w:rFonts w:ascii="Times New Roman" w:hAnsi="Times New Roman"/>
          <w:b w:val="0"/>
          <w:i w:val="0"/>
          <w:sz w:val="24"/>
        </w:rPr>
        <w:t>(9), 822–829. https://doi.org/10.1001/jamapediatrics.2015.1475</w:t>
      </w:r>
    </w:p>
    <w:p>
      <w:pPr>
        <w:jc w:val="left"/>
        <w:spacing w:before="0" w:after="120" w:line="480" w:lineRule="auto"/>
      </w:pPr>
      <w:r>
        <w:rPr>
          <w:rFonts w:ascii="Times New Roman" w:hAnsi="Times New Roman"/>
          <w:b w:val="0"/>
          <w:i w:val="0"/>
          <w:sz w:val="24"/>
        </w:rPr>
        <w:t xml:space="preserve">Hart, B., &amp; Risley, T. R. (1995). </w:t>
      </w:r>
      <w:r>
        <w:rPr>
          <w:rFonts w:ascii="Times New Roman" w:hAnsi="Times New Roman"/>
          <w:b w:val="0"/>
          <w:i/>
          <w:sz w:val="24"/>
        </w:rPr>
        <w:t>Meaningful differences in the everyday experience of young American children</w:t>
      </w:r>
      <w:r>
        <w:rPr>
          <w:rFonts w:ascii="Times New Roman" w:hAnsi="Times New Roman"/>
          <w:b w:val="0"/>
          <w:i w:val="0"/>
          <w:sz w:val="24"/>
        </w:rPr>
        <w:t>. Paul H. Brookes Publishing Co.</w:t>
      </w:r>
    </w:p>
    <w:p>
      <w:pPr>
        <w:jc w:val="left"/>
        <w:spacing w:before="0" w:after="120" w:line="480" w:lineRule="auto"/>
      </w:pPr>
      <w:r>
        <w:rPr>
          <w:rFonts w:ascii="Times New Roman" w:hAnsi="Times New Roman"/>
          <w:b w:val="0"/>
          <w:i w:val="0"/>
          <w:sz w:val="24"/>
        </w:rPr>
        <w:t xml:space="preserve">Hoff, E. (2003). The specificity of environmental influence: Socioeconomic status affects early vocabulary development via maternal speech.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74</w:t>
      </w:r>
      <w:r>
        <w:rPr>
          <w:rFonts w:ascii="Times New Roman" w:hAnsi="Times New Roman"/>
          <w:b w:val="0"/>
          <w:i w:val="0"/>
          <w:sz w:val="24"/>
        </w:rPr>
        <w:t>(5), 1368–1378. https://doi.org/10.1111/1467-8624.00612</w:t>
      </w:r>
    </w:p>
    <w:p>
      <w:pPr>
        <w:jc w:val="left"/>
        <w:spacing w:before="0" w:after="120" w:line="480" w:lineRule="auto"/>
      </w:pPr>
      <w:r>
        <w:rPr>
          <w:rFonts w:ascii="Times New Roman" w:hAnsi="Times New Roman"/>
          <w:b w:val="0"/>
          <w:i w:val="0"/>
          <w:sz w:val="24"/>
        </w:rPr>
        <w:t xml:space="preserve">Hoff, E. (2013). Interpreting the early language trajectories of children from low-SES and language minority homes: Implications for closing achievement gaps. </w:t>
      </w:r>
      <w:r>
        <w:rPr>
          <w:rFonts w:ascii="Times New Roman" w:hAnsi="Times New Roman"/>
          <w:b w:val="0"/>
          <w:i/>
          <w:sz w:val="24"/>
        </w:rPr>
        <w:t>Developmental Psychology</w:t>
      </w:r>
      <w:r>
        <w:rPr>
          <w:rFonts w:ascii="Times New Roman" w:hAnsi="Times New Roman"/>
          <w:b w:val="0"/>
          <w:i w:val="0"/>
          <w:sz w:val="24"/>
        </w:rPr>
        <w:t xml:space="preserve">, </w:t>
      </w:r>
      <w:r>
        <w:rPr>
          <w:rFonts w:ascii="Times New Roman" w:hAnsi="Times New Roman"/>
          <w:b w:val="0"/>
          <w:i/>
          <w:sz w:val="24"/>
        </w:rPr>
        <w:t>49</w:t>
      </w:r>
      <w:r>
        <w:rPr>
          <w:rFonts w:ascii="Times New Roman" w:hAnsi="Times New Roman"/>
          <w:b w:val="0"/>
          <w:i w:val="0"/>
          <w:sz w:val="24"/>
        </w:rPr>
        <w:t>(1), 4–14. https://doi.org/10.1037/a0030612</w:t>
      </w:r>
    </w:p>
    <w:p>
      <w:pPr>
        <w:jc w:val="left"/>
        <w:spacing w:before="0" w:after="120" w:line="480" w:lineRule="auto"/>
      </w:pPr>
      <w:r>
        <w:rPr>
          <w:rFonts w:ascii="Times New Roman" w:hAnsi="Times New Roman"/>
          <w:b w:val="0"/>
          <w:i w:val="0"/>
          <w:sz w:val="24"/>
        </w:rPr>
        <w:t xml:space="preserve">Huttenlocher, P. R., &amp; Dabholkar, A. S. (1997). Regional differences in synaptogenesis in human cerebral cortex. </w:t>
      </w:r>
      <w:r>
        <w:rPr>
          <w:rFonts w:ascii="Times New Roman" w:hAnsi="Times New Roman"/>
          <w:b w:val="0"/>
          <w:i/>
          <w:sz w:val="24"/>
        </w:rPr>
        <w:t>Journal of Comparative Neurology</w:t>
      </w:r>
      <w:r>
        <w:rPr>
          <w:rFonts w:ascii="Times New Roman" w:hAnsi="Times New Roman"/>
          <w:b w:val="0"/>
          <w:i w:val="0"/>
          <w:sz w:val="24"/>
        </w:rPr>
        <w:t xml:space="preserve">, </w:t>
      </w:r>
      <w:r>
        <w:rPr>
          <w:rFonts w:ascii="Times New Roman" w:hAnsi="Times New Roman"/>
          <w:b w:val="0"/>
          <w:i/>
          <w:sz w:val="24"/>
        </w:rPr>
        <w:t>387</w:t>
      </w:r>
      <w:r>
        <w:rPr>
          <w:rFonts w:ascii="Times New Roman" w:hAnsi="Times New Roman"/>
          <w:b w:val="0"/>
          <w:i w:val="0"/>
          <w:sz w:val="24"/>
        </w:rPr>
        <w:t>(2), 167–178. https://doi.org/10.1002/(SICI)1096-9861(19971020)387:2&lt;167::AID-CNE1&gt;3.0.CO;2-Z</w:t>
      </w:r>
    </w:p>
    <w:p>
      <w:pPr>
        <w:jc w:val="left"/>
        <w:spacing w:before="0" w:after="120" w:line="480" w:lineRule="auto"/>
      </w:pPr>
      <w:r>
        <w:rPr>
          <w:rFonts w:ascii="Times New Roman" w:hAnsi="Times New Roman"/>
          <w:b w:val="0"/>
          <w:i w:val="0"/>
          <w:sz w:val="24"/>
        </w:rPr>
        <w:t xml:space="preserve">Knickmeyer, R. C., Gouttard, S., Kang, C., Evans, D., Wilber, K., Smith, J. K., Hamer, R. M., Lin, W., Gerig, G., &amp; Gilmore, J. H. (2008). A structural MRI study of human brain development from birth to 2 years. </w:t>
      </w:r>
      <w:r>
        <w:rPr>
          <w:rFonts w:ascii="Times New Roman" w:hAnsi="Times New Roman"/>
          <w:b w:val="0"/>
          <w:i/>
          <w:sz w:val="24"/>
        </w:rPr>
        <w:t>Journal of Neuroscience</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(47), 12176–12182. https://doi.org/10.1523/JNEUROSCI.3479-08.2008</w:t>
      </w:r>
    </w:p>
    <w:p>
      <w:pPr>
        <w:jc w:val="left"/>
        <w:spacing w:before="0" w:after="120" w:line="480" w:lineRule="auto"/>
      </w:pPr>
      <w:r>
        <w:rPr>
          <w:rFonts w:ascii="Times New Roman" w:hAnsi="Times New Roman"/>
          <w:b w:val="0"/>
          <w:i w:val="0"/>
          <w:sz w:val="24"/>
        </w:rPr>
        <w:t xml:space="preserve">Knudsen, E. I., Heckman, J. J., Cameron, J. L., &amp; Shonkoff, J. P. (2006). Economic, neurobiological, and behavioral perspectives on building America's future workforce.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(27), 10155–10162. https://doi.org/10.1073/pnas.0600888103</w:t>
      </w:r>
    </w:p>
    <w:p>
      <w:pPr>
        <w:jc w:val="left"/>
        <w:spacing w:before="0" w:after="120" w:line="480" w:lineRule="auto"/>
      </w:pPr>
      <w:r>
        <w:rPr>
          <w:rFonts w:ascii="Times New Roman" w:hAnsi="Times New Roman"/>
          <w:b w:val="0"/>
          <w:i w:val="0"/>
          <w:sz w:val="24"/>
        </w:rPr>
        <w:t xml:space="preserve">Konrad, J., Guo, T., Ufkes, S., Selvanathan, T., Sheng, M., Al-Ajmi, E., Branson, H. M., Chau, V., Ly, L. G., Kelly, E. N., Grunau, R. E., &amp; Miller, S. P. (2024). Socioeconomic status moderates associations between hippocampal development and cognition in preterms. </w:t>
      </w:r>
      <w:r>
        <w:rPr>
          <w:rFonts w:ascii="Times New Roman" w:hAnsi="Times New Roman"/>
          <w:b w:val="0"/>
          <w:i/>
          <w:sz w:val="24"/>
        </w:rPr>
        <w:t>Annals of Clinical and Translational Neurology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2499–2513. https://doi.org/10.1002/acn3.52168</w:t>
      </w:r>
    </w:p>
    <w:p>
      <w:pPr>
        <w:jc w:val="left"/>
        <w:spacing w:before="0" w:after="120" w:line="480" w:lineRule="auto"/>
      </w:pPr>
      <w:r>
        <w:rPr>
          <w:rFonts w:ascii="Times New Roman" w:hAnsi="Times New Roman"/>
          <w:b w:val="0"/>
          <w:i w:val="0"/>
          <w:sz w:val="24"/>
        </w:rPr>
        <w:t xml:space="preserve">Lange, N., Froimowitz, M. P., Bigler, E. D., &amp; Lainhart, J. E. (2010). Associations between IQ, total and regional brain volumes, and demography in a large normative sample of healthy children and adolescents.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(3), 296–317. https://doi.org/10.1080/87565641003696833</w:t>
      </w:r>
    </w:p>
    <w:p>
      <w:pPr>
        <w:jc w:val="left"/>
        <w:spacing w:before="0" w:after="120" w:line="480" w:lineRule="auto"/>
      </w:pPr>
      <w:r>
        <w:rPr>
          <w:rFonts w:ascii="Times New Roman" w:hAnsi="Times New Roman"/>
          <w:b w:val="0"/>
          <w:i w:val="0"/>
          <w:sz w:val="24"/>
        </w:rPr>
        <w:t xml:space="preserve">Lupien, S. J., McEwen, B. S., Gunnar, M. R., &amp; Heim, C. (2009). Effects of stress throughout the lifespan on the brain, behaviour and cognition.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10</w:t>
      </w:r>
      <w:r>
        <w:rPr>
          <w:rFonts w:ascii="Times New Roman" w:hAnsi="Times New Roman"/>
          <w:b w:val="0"/>
          <w:i w:val="0"/>
          <w:sz w:val="24"/>
        </w:rPr>
        <w:t>(6), 434–445. https://doi.org/10.1038/nrn2639</w:t>
      </w:r>
    </w:p>
    <w:p>
      <w:pPr>
        <w:jc w:val="left"/>
        <w:spacing w:before="0" w:after="120" w:line="480" w:lineRule="auto"/>
      </w:pPr>
      <w:r>
        <w:rPr>
          <w:rFonts w:ascii="Times New Roman" w:hAnsi="Times New Roman"/>
          <w:b w:val="0"/>
          <w:i w:val="0"/>
          <w:sz w:val="24"/>
        </w:rPr>
        <w:t xml:space="preserve">Maguire, M. J., &amp; Schneider, J. M. (2019). Socioeconomic status related differences in resting state EEG activity correspond to differences in vocabulary and working memory in grade school. </w:t>
      </w:r>
      <w:r>
        <w:rPr>
          <w:rFonts w:ascii="Times New Roman" w:hAnsi="Times New Roman"/>
          <w:b w:val="0"/>
          <w:i/>
          <w:sz w:val="24"/>
        </w:rPr>
        <w:t>Brain and Cognition</w:t>
      </w:r>
      <w:r>
        <w:rPr>
          <w:rFonts w:ascii="Times New Roman" w:hAnsi="Times New Roman"/>
          <w:b w:val="0"/>
          <w:i w:val="0"/>
          <w:sz w:val="24"/>
        </w:rPr>
        <w:t xml:space="preserve">, </w:t>
      </w:r>
      <w:r>
        <w:rPr>
          <w:rFonts w:ascii="Times New Roman" w:hAnsi="Times New Roman"/>
          <w:b w:val="0"/>
          <w:i/>
          <w:sz w:val="24"/>
        </w:rPr>
        <w:t>137</w:t>
      </w:r>
      <w:r>
        <w:rPr>
          <w:rFonts w:ascii="Times New Roman" w:hAnsi="Times New Roman"/>
          <w:b w:val="0"/>
          <w:i w:val="0"/>
          <w:sz w:val="24"/>
        </w:rPr>
        <w:t>, Article 103619. https://doi.org/10.1016/j.bandc.2019.103619</w:t>
      </w:r>
    </w:p>
    <w:p>
      <w:pPr>
        <w:jc w:val="left"/>
        <w:spacing w:before="0" w:after="120" w:line="480" w:lineRule="auto"/>
      </w:pPr>
      <w:r>
        <w:rPr>
          <w:rFonts w:ascii="Times New Roman" w:hAnsi="Times New Roman"/>
          <w:b w:val="0"/>
          <w:i w:val="0"/>
          <w:sz w:val="24"/>
        </w:rPr>
        <w:t xml:space="preserve">Marshall, P. J., &amp; Meltzoff, A. N. (2014). Neural mirroring mechanisms and imitation in human infants. </w:t>
      </w:r>
      <w:r>
        <w:rPr>
          <w:rFonts w:ascii="Times New Roman" w:hAnsi="Times New Roman"/>
          <w:b w:val="0"/>
          <w:i/>
          <w:sz w:val="24"/>
        </w:rPr>
        <w:t>Philosophical Transactions of the Royal Society B: Biological Sciences</w:t>
      </w:r>
      <w:r>
        <w:rPr>
          <w:rFonts w:ascii="Times New Roman" w:hAnsi="Times New Roman"/>
          <w:b w:val="0"/>
          <w:i w:val="0"/>
          <w:sz w:val="24"/>
        </w:rPr>
        <w:t xml:space="preserve">, </w:t>
      </w:r>
      <w:r>
        <w:rPr>
          <w:rFonts w:ascii="Times New Roman" w:hAnsi="Times New Roman"/>
          <w:b w:val="0"/>
          <w:i/>
          <w:sz w:val="24"/>
        </w:rPr>
        <w:t>369</w:t>
      </w:r>
      <w:r>
        <w:rPr>
          <w:rFonts w:ascii="Times New Roman" w:hAnsi="Times New Roman"/>
          <w:b w:val="0"/>
          <w:i w:val="0"/>
          <w:sz w:val="24"/>
        </w:rPr>
        <w:t>(1644), Article 20130620. https://doi.org/10.1098/rstb.2013.0620</w:t>
      </w:r>
    </w:p>
    <w:p>
      <w:pPr>
        <w:jc w:val="left"/>
        <w:spacing w:before="0" w:after="120" w:line="480" w:lineRule="auto"/>
      </w:pPr>
      <w:r>
        <w:rPr>
          <w:rFonts w:ascii="Times New Roman" w:hAnsi="Times New Roman"/>
          <w:b w:val="0"/>
          <w:i w:val="0"/>
          <w:sz w:val="24"/>
        </w:rPr>
        <w:t xml:space="preserve">McEwen, B. S., &amp; Gianaros, P. J. (2010). Central role of the brain in stress and adaptation: Links to socioeconomic status, health, and disease. </w:t>
      </w:r>
      <w:r>
        <w:rPr>
          <w:rFonts w:ascii="Times New Roman" w:hAnsi="Times New Roman"/>
          <w:b w:val="0"/>
          <w:i/>
          <w:sz w:val="24"/>
        </w:rPr>
        <w:t>Annals of the New York Academy of Sciences</w:t>
      </w:r>
      <w:r>
        <w:rPr>
          <w:rFonts w:ascii="Times New Roman" w:hAnsi="Times New Roman"/>
          <w:b w:val="0"/>
          <w:i w:val="0"/>
          <w:sz w:val="24"/>
        </w:rPr>
        <w:t xml:space="preserve">, </w:t>
      </w:r>
      <w:r>
        <w:rPr>
          <w:rFonts w:ascii="Times New Roman" w:hAnsi="Times New Roman"/>
          <w:b w:val="0"/>
          <w:i/>
          <w:sz w:val="24"/>
        </w:rPr>
        <w:t>1186</w:t>
      </w:r>
      <w:r>
        <w:rPr>
          <w:rFonts w:ascii="Times New Roman" w:hAnsi="Times New Roman"/>
          <w:b w:val="0"/>
          <w:i w:val="0"/>
          <w:sz w:val="24"/>
        </w:rPr>
        <w:t>, 190–222. https://doi.org/10.1111/j.1749-6632.2009.05437.x</w:t>
      </w:r>
    </w:p>
    <w:p>
      <w:pPr>
        <w:jc w:val="left"/>
        <w:spacing w:before="0" w:after="120" w:line="480" w:lineRule="auto"/>
      </w:pPr>
      <w:r>
        <w:rPr>
          <w:rFonts w:ascii="Times New Roman" w:hAnsi="Times New Roman"/>
          <w:b w:val="0"/>
          <w:i w:val="0"/>
          <w:sz w:val="24"/>
        </w:rPr>
        <w:t xml:space="preserve">McKinnon, K., Galdi, P., Blesa-Cábez, M., Sullivan, G., Vaher, K., Corrigan, A., Hall, J., Jiménez-Sánchez, L., Thrippleton, M., Bastin, M. E., Quigley, A. J., Valavani, E., Tsanas, A., Richardson, H., &amp; Boardman, J. P. (2023). Association of preterm birth and socioeconomic status with neonatal brain structure.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177</w:t>
      </w:r>
      <w:r>
        <w:rPr>
          <w:rFonts w:ascii="Times New Roman" w:hAnsi="Times New Roman"/>
          <w:b w:val="0"/>
          <w:i w:val="0"/>
          <w:sz w:val="24"/>
        </w:rPr>
        <w:t>(4), 380–389. https://doi.org/10.1001/jamapediatrics.2022.5847</w:t>
      </w:r>
    </w:p>
    <w:p>
      <w:pPr>
        <w:jc w:val="left"/>
        <w:spacing w:before="0" w:after="120" w:line="480" w:lineRule="auto"/>
      </w:pPr>
      <w:r>
        <w:rPr>
          <w:rFonts w:ascii="Times New Roman" w:hAnsi="Times New Roman"/>
          <w:b w:val="0"/>
          <w:i w:val="0"/>
          <w:sz w:val="24"/>
        </w:rPr>
        <w:t xml:space="preserve">Monk, C., Georgieff, M. K., &amp; Osterholm, E. A. (2013). Research review: Maternal prenatal distress and poor nutrition—Mutually influencing risk factors affecting infant neurocognitive development. </w:t>
      </w:r>
      <w:r>
        <w:rPr>
          <w:rFonts w:ascii="Times New Roman" w:hAnsi="Times New Roman"/>
          <w:b w:val="0"/>
          <w:i/>
          <w:sz w:val="24"/>
        </w:rPr>
        <w:t>Journal of Child Psychology and Psychiatry</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(2), 115–130. https://doi.org/10.1111/jcpp.12000</w:t>
      </w:r>
    </w:p>
    <w:p>
      <w:pPr>
        <w:jc w:val="left"/>
        <w:spacing w:before="0" w:after="120" w:line="480" w:lineRule="auto"/>
      </w:pPr>
      <w:r>
        <w:rPr>
          <w:rFonts w:ascii="Times New Roman" w:hAnsi="Times New Roman"/>
          <w:b w:val="0"/>
          <w:i w:val="0"/>
          <w:sz w:val="24"/>
        </w:rPr>
        <w:t xml:space="preserve">Noble, K. G., Houston, S. M., Brito, N. H., Bartsch, H., Kan, E., Kuperman, J. M., Akshoomoff, N., Amaral, D. G., Bloss, C. S., Libiger, O., Schork, N. J., Murray, S. S., Casey, B. J., Chang, L., Ernst, T. M., Frazier, J. A., Gruen, J. R., Kennedy, D. N., Van Zijl, P., … Sowell, E. R. (2015). Family income, parental education and brain structure in children and adolescents. </w:t>
      </w:r>
      <w:r>
        <w:rPr>
          <w:rFonts w:ascii="Times New Roman" w:hAnsi="Times New Roman"/>
          <w:b w:val="0"/>
          <w:i/>
          <w:sz w:val="24"/>
        </w:rPr>
        <w:t>Nature Neuroscience</w:t>
      </w:r>
      <w:r>
        <w:rPr>
          <w:rFonts w:ascii="Times New Roman" w:hAnsi="Times New Roman"/>
          <w:b w:val="0"/>
          <w:i w:val="0"/>
          <w:sz w:val="24"/>
        </w:rPr>
        <w:t xml:space="preserve">, </w:t>
      </w:r>
      <w:r>
        <w:rPr>
          <w:rFonts w:ascii="Times New Roman" w:hAnsi="Times New Roman"/>
          <w:b w:val="0"/>
          <w:i/>
          <w:sz w:val="24"/>
        </w:rPr>
        <w:t>18</w:t>
      </w:r>
      <w:r>
        <w:rPr>
          <w:rFonts w:ascii="Times New Roman" w:hAnsi="Times New Roman"/>
          <w:b w:val="0"/>
          <w:i w:val="0"/>
          <w:sz w:val="24"/>
        </w:rPr>
        <w:t>(5), 773–778. https://doi.org/10.1038/nn.3983</w:t>
      </w:r>
    </w:p>
    <w:p>
      <w:pPr>
        <w:jc w:val="left"/>
        <w:spacing w:before="0" w:after="120" w:line="480" w:lineRule="auto"/>
      </w:pPr>
      <w:r>
        <w:rPr>
          <w:rFonts w:ascii="Times New Roman" w:hAnsi="Times New Roman"/>
          <w:b w:val="0"/>
          <w:i w:val="0"/>
          <w:sz w:val="24"/>
        </w:rPr>
        <w:t xml:space="preserve">Ozernov-Palchik, O., Norton, E. S., Wang, Y., Beach, S. D., Zuk, J., Wolf, M., Gabrieli, J. D. E., &amp; Gaab, N. (2019). The relationship between socioeconomic status and white matter microstructure in pre-reading children: A longitudinal investigation.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(3), 741–754. https://doi.org/10.1002/hbm.24407</w:t>
      </w:r>
    </w:p>
    <w:p>
      <w:pPr>
        <w:jc w:val="left"/>
        <w:spacing w:before="0" w:after="120" w:line="480" w:lineRule="auto"/>
      </w:pPr>
      <w:r>
        <w:rPr>
          <w:rFonts w:ascii="Times New Roman" w:hAnsi="Times New Roman"/>
          <w:b w:val="0"/>
          <w:i w:val="0"/>
          <w:sz w:val="24"/>
        </w:rPr>
        <w:t xml:space="preserve">Page, M. J., McKenzie, J. E., Bossuyt, P. M., Boutron, I., Hoffmann, T. C., Mulrow, C. D., Shamseer, L., Tetzlaff, J. M., Akl, E. A., Brennan, S. E., Chou, R., Gluud, C., Mayo-Wilson, E., McDonald, S., McGuinness, L. A., Stewart, L. A., Thomas, J., Tricco, A. C., Welch, V. A., … Moher, D. (2021). The PRISMA 2020 statement: An updated guideline for reporting systematic reviews.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372</w:t>
      </w:r>
      <w:r>
        <w:rPr>
          <w:rFonts w:ascii="Times New Roman" w:hAnsi="Times New Roman"/>
          <w:b w:val="0"/>
          <w:i w:val="0"/>
          <w:sz w:val="24"/>
        </w:rPr>
        <w:t>, n71. https://doi.org/10.1136/bmj.n71</w:t>
      </w:r>
    </w:p>
    <w:p>
      <w:pPr>
        <w:jc w:val="left"/>
        <w:spacing w:before="0" w:after="120" w:line="480" w:lineRule="auto"/>
      </w:pPr>
      <w:r>
        <w:rPr>
          <w:rFonts w:ascii="Times New Roman" w:hAnsi="Times New Roman"/>
          <w:b w:val="0"/>
          <w:i w:val="0"/>
          <w:sz w:val="24"/>
        </w:rPr>
        <w:t xml:space="preserve">Paus, T., Zijdenbos, A., Worsley, K., Collins, D. L., Blumenthal, J., Giedd, J. N., Rapoport, J. L., &amp; Evans, A. C. (1999). Structural maturation of neural pathways in children and adolescents: In vivo study. </w:t>
      </w:r>
      <w:r>
        <w:rPr>
          <w:rFonts w:ascii="Times New Roman" w:hAnsi="Times New Roman"/>
          <w:b w:val="0"/>
          <w:i/>
          <w:sz w:val="24"/>
        </w:rPr>
        <w:t>Science</w:t>
      </w:r>
      <w:r>
        <w:rPr>
          <w:rFonts w:ascii="Times New Roman" w:hAnsi="Times New Roman"/>
          <w:b w:val="0"/>
          <w:i w:val="0"/>
          <w:sz w:val="24"/>
        </w:rPr>
        <w:t xml:space="preserve">, </w:t>
      </w:r>
      <w:r>
        <w:rPr>
          <w:rFonts w:ascii="Times New Roman" w:hAnsi="Times New Roman"/>
          <w:b w:val="0"/>
          <w:i/>
          <w:sz w:val="24"/>
        </w:rPr>
        <w:t>283</w:t>
      </w:r>
      <w:r>
        <w:rPr>
          <w:rFonts w:ascii="Times New Roman" w:hAnsi="Times New Roman"/>
          <w:b w:val="0"/>
          <w:i w:val="0"/>
          <w:sz w:val="24"/>
        </w:rPr>
        <w:t>(5409), 1908–1911. https://doi.org/10.1126/science.283.5409.1908</w:t>
      </w:r>
    </w:p>
    <w:p>
      <w:pPr>
        <w:jc w:val="left"/>
        <w:spacing w:before="0" w:after="120" w:line="480" w:lineRule="auto"/>
      </w:pPr>
      <w:r>
        <w:rPr>
          <w:rFonts w:ascii="Times New Roman" w:hAnsi="Times New Roman"/>
          <w:b w:val="0"/>
          <w:i w:val="0"/>
          <w:sz w:val="24"/>
        </w:rPr>
        <w:t xml:space="preserve">Plomin, R., DeFries, J. C., Knopik, V. S., &amp; Neiderhiser, J. M. (2013). </w:t>
      </w:r>
      <w:r>
        <w:rPr>
          <w:rFonts w:ascii="Times New Roman" w:hAnsi="Times New Roman"/>
          <w:b w:val="0"/>
          <w:i/>
          <w:sz w:val="24"/>
        </w:rPr>
        <w:t>Behavioral genetics</w:t>
      </w:r>
      <w:r>
        <w:rPr>
          <w:rFonts w:ascii="Times New Roman" w:hAnsi="Times New Roman"/>
          <w:b w:val="0"/>
          <w:i w:val="0"/>
          <w:sz w:val="24"/>
        </w:rPr>
        <w:t xml:space="preserve"> (6th ed.). Worth Publishers.</w:t>
      </w:r>
    </w:p>
    <w:p>
      <w:pPr>
        <w:jc w:val="left"/>
        <w:spacing w:before="0" w:after="120" w:line="480" w:lineRule="auto"/>
      </w:pPr>
      <w:r>
        <w:rPr>
          <w:rFonts w:ascii="Times New Roman" w:hAnsi="Times New Roman"/>
          <w:b w:val="0"/>
          <w:i w:val="0"/>
          <w:sz w:val="24"/>
        </w:rPr>
        <w:t xml:space="preserve">Ramphal, B., Whalen, D. J., Kenley, J. K., Yu, Q., Smyser, C. D., Rogers, C. E., &amp; Sylvester, C. M. (2020). Brain connectivity and socioeconomic status at birth and externalizing symptoms at age 2 years.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45</w:t>
      </w:r>
      <w:r>
        <w:rPr>
          <w:rFonts w:ascii="Times New Roman" w:hAnsi="Times New Roman"/>
          <w:b w:val="0"/>
          <w:i w:val="0"/>
          <w:sz w:val="24"/>
        </w:rPr>
        <w:t>, Article 100811. https://doi.org/10.1016/j.dcn.2020.100811</w:t>
      </w:r>
    </w:p>
    <w:p>
      <w:pPr>
        <w:jc w:val="left"/>
        <w:spacing w:before="0" w:after="120" w:line="480" w:lineRule="auto"/>
      </w:pPr>
      <w:r>
        <w:rPr>
          <w:rFonts w:ascii="Times New Roman" w:hAnsi="Times New Roman"/>
          <w:b w:val="0"/>
          <w:i w:val="0"/>
          <w:sz w:val="24"/>
        </w:rPr>
        <w:t xml:space="preserve">Rowe, M. L. (2008). Child-directed speech: Relation to socioeconomic status, knowledge of child development and child vocabulary skill. </w:t>
      </w:r>
      <w:r>
        <w:rPr>
          <w:rFonts w:ascii="Times New Roman" w:hAnsi="Times New Roman"/>
          <w:b w:val="0"/>
          <w:i/>
          <w:sz w:val="24"/>
        </w:rPr>
        <w:t>Journal of Child Language</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(1), 185–205. https://doi.org/10.1017/S0305000907008343</w:t>
      </w:r>
    </w:p>
    <w:p>
      <w:pPr>
        <w:jc w:val="left"/>
        <w:spacing w:before="0" w:after="120" w:line="480" w:lineRule="auto"/>
      </w:pPr>
      <w:r>
        <w:rPr>
          <w:rFonts w:ascii="Times New Roman" w:hAnsi="Times New Roman"/>
          <w:b w:val="0"/>
          <w:i w:val="0"/>
          <w:sz w:val="24"/>
        </w:rPr>
        <w:t xml:space="preserve">Shephard, E., Fatori, D., Mauro, L. R., de Medeiros Filho, M. V., Hoexter, M. Q., Chiesa, A. M., Fracolli, L. A., Brentani, H., Ferraro, A. A., Nelson, C. A., Miguel, E. C., &amp; Polanczyk, G. V. (2019). Effects of maternal psychopathology and education level on neurocognitive development in infants of adolescent mothers living in poverty. </w:t>
      </w:r>
      <w:r>
        <w:rPr>
          <w:rFonts w:ascii="Times New Roman" w:hAnsi="Times New Roman"/>
          <w:b w:val="0"/>
          <w:i/>
          <w:sz w:val="24"/>
        </w:rPr>
        <w:t>Biological Psychiatry: Cognitive Neuroscience and Neuroimaging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(11), 1136–1145. https://doi.org/10.1016/j.bpsc.2019.05.009</w:t>
      </w:r>
    </w:p>
    <w:p>
      <w:pPr>
        <w:jc w:val="left"/>
        <w:spacing w:before="0" w:after="120" w:line="480" w:lineRule="auto"/>
      </w:pPr>
      <w:r>
        <w:rPr>
          <w:rFonts w:ascii="Times New Roman" w:hAnsi="Times New Roman"/>
          <w:b w:val="0"/>
          <w:i w:val="0"/>
          <w:sz w:val="24"/>
        </w:rPr>
        <w:t xml:space="preserve">Shonkoff, J. P., Garner, A. S., Committee on Psychosocial Aspects of Child and Family Health, Committee on Early Childhood, Adoption, and Dependent Care, &amp; Section on Developmental and Behavioral Pediatrics. (2012). The lifelong effects of early childhood adversity and toxic stress. </w:t>
      </w:r>
      <w:r>
        <w:rPr>
          <w:rFonts w:ascii="Times New Roman" w:hAnsi="Times New Roman"/>
          <w:b w:val="0"/>
          <w:i/>
          <w:sz w:val="24"/>
        </w:rPr>
        <w:t>Pediatrics</w:t>
      </w:r>
      <w:r>
        <w:rPr>
          <w:rFonts w:ascii="Times New Roman" w:hAnsi="Times New Roman"/>
          <w:b w:val="0"/>
          <w:i w:val="0"/>
          <w:sz w:val="24"/>
        </w:rPr>
        <w:t xml:space="preserve">, </w:t>
      </w:r>
      <w:r>
        <w:rPr>
          <w:rFonts w:ascii="Times New Roman" w:hAnsi="Times New Roman"/>
          <w:b w:val="0"/>
          <w:i/>
          <w:sz w:val="24"/>
        </w:rPr>
        <w:t>129</w:t>
      </w:r>
      <w:r>
        <w:rPr>
          <w:rFonts w:ascii="Times New Roman" w:hAnsi="Times New Roman"/>
          <w:b w:val="0"/>
          <w:i w:val="0"/>
          <w:sz w:val="24"/>
        </w:rPr>
        <w:t>(1), e232–e246. https://doi.org/10.1542/peds.2011-2663</w:t>
      </w:r>
    </w:p>
    <w:p>
      <w:pPr>
        <w:jc w:val="left"/>
        <w:spacing w:before="0" w:after="120" w:line="480" w:lineRule="auto"/>
      </w:pPr>
      <w:r>
        <w:rPr>
          <w:rFonts w:ascii="Times New Roman" w:hAnsi="Times New Roman"/>
          <w:b w:val="0"/>
          <w:i w:val="0"/>
          <w:sz w:val="24"/>
        </w:rPr>
        <w:t xml:space="preserve">Sperry, D. E., Sperry, L. L., &amp; Miller, P. J. (2019). Reexamining the verbal environments of children from different socioeconomic backgrounds.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90</w:t>
      </w:r>
      <w:r>
        <w:rPr>
          <w:rFonts w:ascii="Times New Roman" w:hAnsi="Times New Roman"/>
          <w:b w:val="0"/>
          <w:i w:val="0"/>
          <w:sz w:val="24"/>
        </w:rPr>
        <w:t>(4), 1303–1318. https://doi.org/10.1111/cdev.13072</w:t>
      </w:r>
    </w:p>
    <w:p>
      <w:pPr>
        <w:jc w:val="left"/>
        <w:spacing w:before="0" w:after="120" w:line="480" w:lineRule="auto"/>
      </w:pPr>
      <w:r>
        <w:rPr>
          <w:rFonts w:ascii="Times New Roman" w:hAnsi="Times New Roman"/>
          <w:b w:val="0"/>
          <w:i w:val="0"/>
          <w:sz w:val="24"/>
        </w:rPr>
        <w:t xml:space="preserve">Stiles, J., &amp; Jernigan, T. L. (2010). The basics of brain development. </w:t>
      </w:r>
      <w:r>
        <w:rPr>
          <w:rFonts w:ascii="Times New Roman" w:hAnsi="Times New Roman"/>
          <w:b w:val="0"/>
          <w:i/>
          <w:sz w:val="24"/>
        </w:rPr>
        <w:t>Neuropsychology Review</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(4), 327–348. https://doi.org/10.1007/s11065-010-9148-4</w:t>
      </w:r>
    </w:p>
    <w:p>
      <w:pPr>
        <w:jc w:val="left"/>
        <w:spacing w:before="0" w:after="120" w:line="480" w:lineRule="auto"/>
      </w:pPr>
      <w:r>
        <w:rPr>
          <w:rFonts w:ascii="Times New Roman" w:hAnsi="Times New Roman"/>
          <w:b w:val="0"/>
          <w:i w:val="0"/>
          <w:sz w:val="24"/>
        </w:rPr>
        <w:t xml:space="preserve">Stiver, M. L., Kamino, D., Guo, T., Thompson, A., Duerden, E. G., Taylor, M. J., &amp; Tam, E. W. Y. (2015). Maternal postsecondary education associated with improved cerebellar growth after preterm birth. </w:t>
      </w:r>
      <w:r>
        <w:rPr>
          <w:rFonts w:ascii="Times New Roman" w:hAnsi="Times New Roman"/>
          <w:b w:val="0"/>
          <w:i/>
          <w:sz w:val="24"/>
        </w:rPr>
        <w:t>Journal of Child Neurology</w:t>
      </w:r>
      <w:r>
        <w:rPr>
          <w:rFonts w:ascii="Times New Roman" w:hAnsi="Times New Roman"/>
          <w:b w:val="0"/>
          <w:i w:val="0"/>
          <w:sz w:val="24"/>
        </w:rPr>
        <w:t xml:space="preserve">, </w:t>
      </w:r>
      <w:r>
        <w:rPr>
          <w:rFonts w:ascii="Times New Roman" w:hAnsi="Times New Roman"/>
          <w:b w:val="0"/>
          <w:i/>
          <w:sz w:val="24"/>
        </w:rPr>
        <w:t>30</w:t>
      </w:r>
      <w:r>
        <w:rPr>
          <w:rFonts w:ascii="Times New Roman" w:hAnsi="Times New Roman"/>
          <w:b w:val="0"/>
          <w:i w:val="0"/>
          <w:sz w:val="24"/>
        </w:rPr>
        <w:t>(12), 1633–1639. https://doi.org/10.1177/0883073815576790</w:t>
      </w:r>
    </w:p>
    <w:p>
      <w:pPr>
        <w:jc w:val="left"/>
        <w:spacing w:before="0" w:after="120" w:line="480" w:lineRule="auto"/>
      </w:pPr>
      <w:r>
        <w:rPr>
          <w:rFonts w:ascii="Times New Roman" w:hAnsi="Times New Roman"/>
          <w:b w:val="0"/>
          <w:i w:val="0"/>
          <w:sz w:val="24"/>
        </w:rPr>
        <w:t xml:space="preserve">Tomalski, P., &amp; Johnson, M. H. (2010). The effects of early adversity on the adult and developing brain. </w:t>
      </w:r>
      <w:r>
        <w:rPr>
          <w:rFonts w:ascii="Times New Roman" w:hAnsi="Times New Roman"/>
          <w:b w:val="0"/>
          <w:i/>
          <w:sz w:val="24"/>
        </w:rPr>
        <w:t>Current Opinion in Psychiatry</w:t>
      </w:r>
      <w:r>
        <w:rPr>
          <w:rFonts w:ascii="Times New Roman" w:hAnsi="Times New Roman"/>
          <w:b w:val="0"/>
          <w:i w:val="0"/>
          <w:sz w:val="24"/>
        </w:rPr>
        <w:t xml:space="preserve">, </w:t>
      </w:r>
      <w:r>
        <w:rPr>
          <w:rFonts w:ascii="Times New Roman" w:hAnsi="Times New Roman"/>
          <w:b w:val="0"/>
          <w:i/>
          <w:sz w:val="24"/>
        </w:rPr>
        <w:t>23</w:t>
      </w:r>
      <w:r>
        <w:rPr>
          <w:rFonts w:ascii="Times New Roman" w:hAnsi="Times New Roman"/>
          <w:b w:val="0"/>
          <w:i w:val="0"/>
          <w:sz w:val="24"/>
        </w:rPr>
        <w:t>(3), 233–238. https://doi.org/10.1097/YCO.0b013e3283387d9f</w:t>
      </w:r>
    </w:p>
    <w:p>
      <w:pPr>
        <w:jc w:val="left"/>
        <w:spacing w:before="0" w:after="120" w:line="480" w:lineRule="auto"/>
      </w:pPr>
      <w:r>
        <w:rPr>
          <w:rFonts w:ascii="Times New Roman" w:hAnsi="Times New Roman"/>
          <w:b w:val="0"/>
          <w:i w:val="0"/>
          <w:sz w:val="24"/>
        </w:rPr>
        <w:t xml:space="preserve">Torpey, D. C., Hajcak, G., &amp; Klein, D. N. (2009). An examination of error-related brain activity and its modulation by error value in young children.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(6), 749–761. https://doi.org/10.1080/87565640903265103</w:t>
      </w:r>
    </w:p>
    <w:p>
      <w:pPr>
        <w:jc w:val="left"/>
        <w:spacing w:before="0" w:after="120" w:line="480" w:lineRule="auto"/>
      </w:pPr>
      <w:r>
        <w:rPr>
          <w:rFonts w:ascii="Times New Roman" w:hAnsi="Times New Roman"/>
          <w:b w:val="0"/>
          <w:i w:val="0"/>
          <w:sz w:val="24"/>
        </w:rPr>
        <w:t xml:space="preserve">Turesky, T. K., Sanfilippo, J., Zuk, J., Ahtam, B., Gagoski, B., Lee, A., Garrisi, K., Dunstan, J., Carruthers, C., Vanderauwera, J., Yu, X., &amp; Gaab, N. (2022). Home language and literacy environment and its relationship to socioeconomic status and white matter structure in infancy. </w:t>
      </w:r>
      <w:r>
        <w:rPr>
          <w:rFonts w:ascii="Times New Roman" w:hAnsi="Times New Roman"/>
          <w:b w:val="0"/>
          <w:i/>
          <w:sz w:val="24"/>
        </w:rPr>
        <w:t>Brain Structure and Function</w:t>
      </w:r>
      <w:r>
        <w:rPr>
          <w:rFonts w:ascii="Times New Roman" w:hAnsi="Times New Roman"/>
          <w:b w:val="0"/>
          <w:i w:val="0"/>
          <w:sz w:val="24"/>
        </w:rPr>
        <w:t xml:space="preserve">, </w:t>
      </w:r>
      <w:r>
        <w:rPr>
          <w:rFonts w:ascii="Times New Roman" w:hAnsi="Times New Roman"/>
          <w:b w:val="0"/>
          <w:i/>
          <w:sz w:val="24"/>
        </w:rPr>
        <w:t>227</w:t>
      </w:r>
      <w:r>
        <w:rPr>
          <w:rFonts w:ascii="Times New Roman" w:hAnsi="Times New Roman"/>
          <w:b w:val="0"/>
          <w:i w:val="0"/>
          <w:sz w:val="24"/>
        </w:rPr>
        <w:t>(8), 2633–2645. https://doi.org/10.1007/s00429-022-02560-4</w:t>
      </w:r>
    </w:p>
    <w:p>
      <w:pPr>
        <w:jc w:val="left"/>
        <w:spacing w:before="0" w:after="120" w:line="480" w:lineRule="auto"/>
      </w:pPr>
      <w:r>
        <w:rPr>
          <w:rFonts w:ascii="Times New Roman" w:hAnsi="Times New Roman"/>
          <w:b w:val="0"/>
          <w:i w:val="0"/>
          <w:sz w:val="24"/>
        </w:rPr>
        <w:t xml:space="preserve">Ursache, A., &amp; Noble, K. G. (2016). Socioeconomic status, white matter, and executive function in children. </w:t>
      </w:r>
      <w:r>
        <w:rPr>
          <w:rFonts w:ascii="Times New Roman" w:hAnsi="Times New Roman"/>
          <w:b w:val="0"/>
          <w:i/>
          <w:sz w:val="24"/>
        </w:rPr>
        <w:t>Brain and Behavior</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(10), Article e00531. https://doi.org/10.1002/brb3.531</w:t>
      </w:r>
    </w:p>
    <w:p>
      <w:pPr>
        <w:jc w:val="left"/>
        <w:spacing w:before="0" w:after="120" w:line="480" w:lineRule="auto"/>
      </w:pPr>
      <w:r>
        <w:rPr>
          <w:rFonts w:ascii="Times New Roman" w:hAnsi="Times New Roman"/>
          <w:b w:val="0"/>
          <w:i w:val="0"/>
          <w:sz w:val="24"/>
        </w:rPr>
        <w:t xml:space="preserve">van Veen, V., &amp; Carter, C. S. (2002). The anterior cingulate as a conflict monitor: fMRI and ERP studies. </w:t>
      </w:r>
      <w:r>
        <w:rPr>
          <w:rFonts w:ascii="Times New Roman" w:hAnsi="Times New Roman"/>
          <w:b w:val="0"/>
          <w:i/>
          <w:sz w:val="24"/>
        </w:rPr>
        <w:t>Physiology &amp; Behavior</w:t>
      </w:r>
      <w:r>
        <w:rPr>
          <w:rFonts w:ascii="Times New Roman" w:hAnsi="Times New Roman"/>
          <w:b w:val="0"/>
          <w:i w:val="0"/>
          <w:sz w:val="24"/>
        </w:rPr>
        <w:t xml:space="preserve">, </w:t>
      </w:r>
      <w:r>
        <w:rPr>
          <w:rFonts w:ascii="Times New Roman" w:hAnsi="Times New Roman"/>
          <w:b w:val="0"/>
          <w:i/>
          <w:sz w:val="24"/>
        </w:rPr>
        <w:t>77</w:t>
      </w:r>
      <w:r>
        <w:rPr>
          <w:rFonts w:ascii="Times New Roman" w:hAnsi="Times New Roman"/>
          <w:b w:val="0"/>
          <w:i w:val="0"/>
          <w:sz w:val="24"/>
        </w:rPr>
        <w:t>(4–5), 477–482. https://doi.org/10.1016/S0031-9384(02)00930-7</w:t>
      </w:r>
    </w:p>
    <w:p>
      <w:pPr>
        <w:jc w:val="left"/>
        <w:spacing w:before="0" w:after="120" w:line="480" w:lineRule="auto"/>
      </w:pPr>
      <w:r>
        <w:rPr>
          <w:rFonts w:ascii="Times New Roman" w:hAnsi="Times New Roman"/>
          <w:b w:val="0"/>
          <w:i w:val="0"/>
          <w:sz w:val="24"/>
        </w:rPr>
        <w:t xml:space="preserve">Victora, C. G., Adair, L., Fall, C., Hallal, P. C., Martorell, R., Richter, L., &amp; Sachdev, H. S. (2008). Maternal and child undernutrition: Consequences for adult health and human capital.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371</w:t>
      </w:r>
      <w:r>
        <w:rPr>
          <w:rFonts w:ascii="Times New Roman" w:hAnsi="Times New Roman"/>
          <w:b w:val="0"/>
          <w:i w:val="0"/>
          <w:sz w:val="24"/>
        </w:rPr>
        <w:t>(9609), 340–357. https://doi.org/10.1016/S0140-6736(07)61692-4</w:t>
      </w:r>
    </w:p>
    <w:p>
      <w:pPr>
        <w:jc w:val="left"/>
        <w:spacing w:before="0" w:after="120" w:line="480" w:lineRule="auto"/>
      </w:pPr>
      <w:r>
        <w:rPr>
          <w:rFonts w:ascii="Times New Roman" w:hAnsi="Times New Roman"/>
          <w:b w:val="0"/>
          <w:i w:val="0"/>
          <w:sz w:val="24"/>
        </w:rPr>
        <w:t xml:space="preserve">Walker, S. P., Wachs, T. D., Grantham-McGregor, S., Black, M. M., Nelson, C. A., Huffman, S. L., Baker-Henningham, H., Chang, S. M., Hamadani, J. D., Lozoff, B., Gardner, J. M. M., Powell, C. A., Rahman, A., &amp; Richter, L. (2011). Inequality in early childhood: Risk and protective factors for early child development.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378</w:t>
      </w:r>
      <w:r>
        <w:rPr>
          <w:rFonts w:ascii="Times New Roman" w:hAnsi="Times New Roman"/>
          <w:b w:val="0"/>
          <w:i w:val="0"/>
          <w:sz w:val="24"/>
        </w:rPr>
        <w:t>(9799), 1325–1338. https://doi.org/10.1016/S0140-6736(11)60555-2</w:t>
      </w:r>
    </w:p>
    <w:p>
      <w:pPr>
        <w:jc w:val="left"/>
        <w:spacing w:before="0" w:after="120" w:line="480" w:lineRule="auto"/>
      </w:pPr>
      <w:r>
        <w:rPr>
          <w:rFonts w:ascii="Times New Roman" w:hAnsi="Times New Roman"/>
          <w:b w:val="0"/>
          <w:i w:val="0"/>
          <w:sz w:val="24"/>
        </w:rPr>
        <w:t xml:space="preserve">Wells, G. A., Shea, B., O'Connell, D., Peterson, J., Welch, V., Losos, M., &amp; Tugwell, P. (2000). </w:t>
      </w:r>
      <w:r>
        <w:rPr>
          <w:rFonts w:ascii="Times New Roman" w:hAnsi="Times New Roman"/>
          <w:b w:val="0"/>
          <w:i/>
          <w:sz w:val="24"/>
        </w:rPr>
        <w:t>The Newcastle–Ottawa Scale (NOS) for assessing the quality of nonrandomised studies in meta-analyses</w:t>
      </w:r>
      <w:r>
        <w:rPr>
          <w:rFonts w:ascii="Times New Roman" w:hAnsi="Times New Roman"/>
          <w:b w:val="0"/>
          <w:i w:val="0"/>
          <w:sz w:val="24"/>
        </w:rPr>
        <w:t>. Ottawa Hospital Research Institute. http://www.ohri.ca/programs/clinical_epidemiology/oxford.asp</w:t>
      </w:r>
    </w:p>
    <w:p>
      <w:pPr>
        <w:jc w:val="left"/>
        <w:spacing w:before="0" w:after="120" w:line="480" w:lineRule="auto"/>
      </w:pPr>
      <w:r>
        <w:rPr>
          <w:rFonts w:ascii="Times New Roman" w:hAnsi="Times New Roman"/>
          <w:b w:val="0"/>
          <w:i w:val="0"/>
          <w:sz w:val="24"/>
        </w:rPr>
        <w:t xml:space="preserve">Wienke, A.-S., &amp; Mathes, B. (2024). Socioeconomic inequalities affect brain responses of infants growing up in Germany. </w:t>
      </w:r>
      <w:r>
        <w:rPr>
          <w:rFonts w:ascii="Times New Roman" w:hAnsi="Times New Roman"/>
          <w:b w:val="0"/>
          <w:i/>
          <w:sz w:val="24"/>
        </w:rPr>
        <w:t>Brain Sciences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(6), Article 560. https://doi.org/10.3390/brainsci14060560</w:t>
      </w:r>
    </w:p>
    <w:p>
      <w:pPr>
        <w:jc w:val="left"/>
        <w:spacing w:before="0" w:after="120" w:line="480" w:lineRule="auto"/>
      </w:pPr>
      <w:r>
        <w:rPr>
          <w:rFonts w:ascii="Times New Roman" w:hAnsi="Times New Roman"/>
          <w:b w:val="0"/>
          <w:i w:val="0"/>
          <w:sz w:val="24"/>
        </w:rPr>
        <w:t xml:space="preserve">Wijeakumar, S., Kumar, A., Delgado Reyes, L. M., Tiwari, M., &amp; Spencer, J. P. (2019). Early adversity in rural India impacts the brain networks underlying visual working memory.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(5), Article e12822. https://doi.org/10.1111/desc.12822</w:t>
      </w:r>
    </w:p>
    <w:p>
      <w:pPr>
        <w:jc w:val="left"/>
        <w:spacing w:before="0" w:after="120" w:line="480" w:lineRule="auto"/>
      </w:pPr>
      <w:r>
        <w:rPr>
          <w:rFonts w:ascii="Times New Roman" w:hAnsi="Times New Roman"/>
          <w:b w:val="0"/>
          <w:i w:val="0"/>
          <w:sz w:val="24"/>
        </w:rPr>
        <w:t xml:space="preserve">Yeatman, J. D., Dougherty, R. F., Ben-Shachar, M., &amp; Wandell, B. A. (2012). Development of white matter and reading skills.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109</w:t>
      </w:r>
      <w:r>
        <w:rPr>
          <w:rFonts w:ascii="Times New Roman" w:hAnsi="Times New Roman"/>
          <w:b w:val="0"/>
          <w:i w:val="0"/>
          <w:sz w:val="24"/>
        </w:rPr>
        <w:t>(44), E3045–E3053. https://doi.org/10.1073/pnas.1206792X</w:t>
      </w:r>
    </w:p>
    <w:p>
      <w:pPr>
        <w:jc w:val="left"/>
        <w:spacing w:before="0" w:after="120" w:line="480" w:lineRule="auto"/>
      </w:pPr>
      <w:r>
        <w:rPr>
          <w:rFonts w:ascii="Times New Roman" w:hAnsi="Times New Roman"/>
          <w:b w:val="0"/>
          <w:i w:val="0"/>
          <w:sz w:val="24"/>
        </w:rPr>
        <w:t xml:space="preserve">Zhu, C., Chen, Y., Müller, H.-G., &amp; Styner, M. A. (2023). Trajectories of brain volumes in young children are associated with maternal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3060–3073. https://doi.org/10.1002/hbm.26271</w:t>
      </w:r>
    </w:p>
    <w:p>
      <w:r>
        <w:br w:type="page"/>
      </w:r>
    </w:p>
    <w:p>
      <w:pPr>
        <w:jc w:val="left"/>
        <w:spacing w:before="0" w:after="240" w:line="360" w:lineRule="auto"/>
      </w:pPr>
      <w:r>
        <w:rPr>
          <w:rFonts w:ascii="Times New Roman" w:hAnsi="Times New Roman"/>
          <w:b/>
          <w:i w:val="0"/>
          <w:sz w:val="28"/>
        </w:rPr>
        <w:t>Figure Captions</w:t>
      </w:r>
    </w:p>
    <w:p>
      <w:pPr>
        <w:spacing w:before="0" w:after="12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pPr>
        <w:spacing w:before="0" w:after="12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pPr>
        <w:spacing w:before="0" w:after="12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pPr>
        <w:spacing w:before="0" w:after="12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p>
      <w:r>
        <w:br w:type="page"/>
      </w:r>
    </w:p>
    <w:p>
      <w:pPr>
        <w:jc w:val="center"/>
        <w:spacing w:before="0" w:after="120" w:line="240" w:lineRule="auto"/>
      </w:pPr>
      <w:r>
        <w:drawing>
          <wp:inline xmlns:a="http://schemas.openxmlformats.org/drawingml/2006/main" xmlns:pic="http://schemas.openxmlformats.org/drawingml/2006/picture">
            <wp:extent cx="5580000" cy="6901579"/>
            <wp:docPr id="1" name="Picture 1"/>
            <wp:cNvGraphicFramePr>
              <a:graphicFrameLocks noChangeAspect="1"/>
            </wp:cNvGraphicFramePr>
            <a:graphic>
              <a:graphicData uri="http://schemas.openxmlformats.org/drawingml/2006/picture">
                <pic:pic>
                  <pic:nvPicPr>
                    <pic:cNvPr id="0" name="figure1_prisma.png"/>
                    <pic:cNvPicPr/>
                  </pic:nvPicPr>
                  <pic:blipFill>
                    <a:blip r:embed="rId9"/>
                    <a:stretch>
                      <a:fillRect/>
                    </a:stretch>
                  </pic:blipFill>
                  <pic:spPr>
                    <a:xfrm>
                      <a:off x="0" y="0"/>
                      <a:ext cx="5580000" cy="6901579"/>
                    </a:xfrm>
                    <a:prstGeom prst="rect"/>
                  </pic:spPr>
                </pic:pic>
              </a:graphicData>
            </a:graphic>
          </wp:inline>
        </w:drawing>
      </w:r>
    </w:p>
    <w:p>
      <w:pPr>
        <w:jc w:val="left"/>
        <w:spacing w:before="120" w:after="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r>
        <w:br w:type="page"/>
      </w:r>
    </w:p>
    <w:p>
      <w:pPr>
        <w:jc w:val="center"/>
        <w:spacing w:before="0" w:after="120" w:line="240" w:lineRule="auto"/>
      </w:pPr>
      <w:r>
        <w:drawing>
          <wp:inline xmlns:a="http://schemas.openxmlformats.org/drawingml/2006/main" xmlns:pic="http://schemas.openxmlformats.org/drawingml/2006/picture">
            <wp:extent cx="5580000" cy="4643886"/>
            <wp:docPr id="2" name="Picture 2"/>
            <wp:cNvGraphicFramePr>
              <a:graphicFrameLocks noChangeAspect="1"/>
            </wp:cNvGraphicFramePr>
            <a:graphic>
              <a:graphicData uri="http://schemas.openxmlformats.org/drawingml/2006/picture">
                <pic:pic>
                  <pic:nvPicPr>
                    <pic:cNvPr id="0" name="figure2_modality_age_bubble.png"/>
                    <pic:cNvPicPr/>
                  </pic:nvPicPr>
                  <pic:blipFill>
                    <a:blip r:embed="rId10"/>
                    <a:stretch>
                      <a:fillRect/>
                    </a:stretch>
                  </pic:blipFill>
                  <pic:spPr>
                    <a:xfrm>
                      <a:off x="0" y="0"/>
                      <a:ext cx="5580000" cy="4643886"/>
                    </a:xfrm>
                    <a:prstGeom prst="rect"/>
                  </pic:spPr>
                </pic:pic>
              </a:graphicData>
            </a:graphic>
          </wp:inline>
        </w:drawing>
      </w:r>
    </w:p>
    <w:p>
      <w:pPr>
        <w:jc w:val="left"/>
        <w:spacing w:before="120" w:after="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r>
        <w:br w:type="page"/>
      </w:r>
    </w:p>
    <w:p>
      <w:pPr>
        <w:jc w:val="center"/>
        <w:spacing w:before="0" w:after="120" w:line="240" w:lineRule="auto"/>
      </w:pPr>
      <w:r>
        <w:drawing>
          <wp:inline xmlns:a="http://schemas.openxmlformats.org/drawingml/2006/main" xmlns:pic="http://schemas.openxmlformats.org/drawingml/2006/picture">
            <wp:extent cx="5580000" cy="3425696"/>
            <wp:docPr id="3" name="Picture 3"/>
            <wp:cNvGraphicFramePr>
              <a:graphicFrameLocks noChangeAspect="1"/>
            </wp:cNvGraphicFramePr>
            <a:graphic>
              <a:graphicData uri="http://schemas.openxmlformats.org/drawingml/2006/picture">
                <pic:pic>
                  <pic:nvPicPr>
                    <pic:cNvPr id="0" name="figure3_effect_direction.png"/>
                    <pic:cNvPicPr/>
                  </pic:nvPicPr>
                  <pic:blipFill>
                    <a:blip r:embed="rId11"/>
                    <a:stretch>
                      <a:fillRect/>
                    </a:stretch>
                  </pic:blipFill>
                  <pic:spPr>
                    <a:xfrm>
                      <a:off x="0" y="0"/>
                      <a:ext cx="5580000" cy="3425696"/>
                    </a:xfrm>
                    <a:prstGeom prst="rect"/>
                  </pic:spPr>
                </pic:pic>
              </a:graphicData>
            </a:graphic>
          </wp:inline>
        </w:drawing>
      </w:r>
    </w:p>
    <w:p>
      <w:pPr>
        <w:jc w:val="left"/>
        <w:spacing w:before="120" w:after="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r>
        <w:br w:type="page"/>
      </w:r>
    </w:p>
    <w:p>
      <w:pPr>
        <w:jc w:val="center"/>
        <w:spacing w:before="0" w:after="120" w:line="240" w:lineRule="auto"/>
      </w:pPr>
      <w:r>
        <w:drawing>
          <wp:inline xmlns:a="http://schemas.openxmlformats.org/drawingml/2006/main" xmlns:pic="http://schemas.openxmlformats.org/drawingml/2006/picture">
            <wp:extent cx="5580000" cy="3855539"/>
            <wp:docPr id="4" name="Picture 4"/>
            <wp:cNvGraphicFramePr>
              <a:graphicFrameLocks noChangeAspect="1"/>
            </wp:cNvGraphicFramePr>
            <a:graphic>
              <a:graphicData uri="http://schemas.openxmlformats.org/drawingml/2006/picture">
                <pic:pic>
                  <pic:nvPicPr>
                    <pic:cNvPr id="0" name="figure4_age_timeline.png"/>
                    <pic:cNvPicPr/>
                  </pic:nvPicPr>
                  <pic:blipFill>
                    <a:blip r:embed="rId12"/>
                    <a:stretch>
                      <a:fillRect/>
                    </a:stretch>
                  </pic:blipFill>
                  <pic:spPr>
                    <a:xfrm>
                      <a:off x="0" y="0"/>
                      <a:ext cx="5580000" cy="3855539"/>
                    </a:xfrm>
                    <a:prstGeom prst="rect"/>
                  </pic:spPr>
                </pic:pic>
              </a:graphicData>
            </a:graphic>
          </wp:inline>
        </w:drawing>
      </w:r>
    </w:p>
    <w:p>
      <w:pPr>
        <w:jc w:val="left"/>
        <w:spacing w:before="120" w:after="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