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line="480" w:lineRule="auto"/>
      </w:pPr>
      <w:r>
        <w:rPr>
          <w:rFonts w:ascii="Times New Roman" w:hAnsi="Times New Roman"/>
          <w:rFonts w:ascii="Times New Roman" w:hAnsi="Times New Roman"/>
          <w:b/>
          <w:i w:val="0"/>
          <w:sz w:val="28"/>
        </w:rPr>
        <w:t>Parental Education Level and Early Childhood Neural Development: A Systematic Review of EEG, ERP, fNIRS, and Neuroimaging Evidence (Ages 0–8 Years)</w:t>
      </w:r>
    </w:p>
    <w:p>
      <w:pPr>
        <w:jc w:val="center"/>
        <w:spacing w:line="480" w:lineRule="auto"/>
      </w:pPr>
      <w:r>
        <w:rPr>
          <w:rFonts w:ascii="Times New Roman" w:hAnsi="Times New Roman"/>
          <w:rFonts w:ascii="Times New Roman" w:hAnsi="Times New Roman"/>
          <w:b w:val="0"/>
          <w:i w:val="0"/>
          <w:sz w:val="24"/>
        </w:rPr>
        <w:t>[Author names to be added]</w:t>
      </w:r>
    </w:p>
    <w:p>
      <w:pPr>
        <w:jc w:val="center"/>
        <w:spacing w:line="480" w:lineRule="auto"/>
      </w:pPr>
      <w:r>
        <w:rPr>
          <w:rFonts w:ascii="Times New Roman" w:hAnsi="Times New Roman"/>
          <w:rFonts w:ascii="Times New Roman" w:hAnsi="Times New Roman"/>
          <w:b w:val="0"/>
          <w:i w:val="0"/>
          <w:sz w:val="24"/>
        </w:rPr>
        <w:t>[Institutional affiliations to be added]</w:t>
      </w:r>
    </w:p>
    <w:p>
      <w:pPr>
        <w:jc w:val="center"/>
        <w:spacing w:line="480" w:lineRule="auto"/>
      </w:pPr>
      <w:r>
        <w:rPr>
          <w:rFonts w:ascii="Times New Roman" w:hAnsi="Times New Roman"/>
          <w:rFonts w:ascii="Times New Roman" w:hAnsi="Times New Roman"/>
          <w:b w:val="0"/>
          <w:i w:val="0"/>
          <w:sz w:val="24"/>
        </w:rPr>
        <w:t>Target journal: Developmental Cognitive Neuroscience</w:t>
      </w:r>
    </w:p>
    <w:p>
      <w:pPr>
        <w:jc w:val="center"/>
        <w:spacing w:line="480" w:lineRule="auto"/>
      </w:pPr>
      <w:r>
        <w:rPr>
          <w:rFonts w:ascii="Times New Roman" w:hAnsi="Times New Roman"/>
          <w:rFonts w:ascii="Times New Roman" w:hAnsi="Times New Roman"/>
          <w:b w:val="0"/>
          <w:i w:val="0"/>
          <w:sz w:val="24"/>
        </w:rPr>
        <w:t>Manuscript type: Systematic Review</w:t>
      </w:r>
    </w:p>
    <w:p>
      <w:pPr>
        <w:jc w:val="center"/>
        <w:spacing w:line="480" w:lineRule="auto"/>
      </w:pPr>
      <w:r>
        <w:rPr>
          <w:rFonts w:ascii="Times New Roman" w:hAnsi="Times New Roman"/>
          <w:rFonts w:ascii="Times New Roman" w:hAnsi="Times New Roman"/>
          <w:b w:val="0"/>
          <w:i w:val="0"/>
          <w:sz w:val="24"/>
        </w:rPr>
        <w:t>Date: 2026-04-10</w:t>
      </w:r>
    </w:p>
    <w:p>
      <w:pPr>
        <w:jc w:val="center"/>
        <w:spacing w:line="480" w:lineRule="auto"/>
      </w:pPr>
      <w:r>
        <w:rPr>
          <w:rFonts w:ascii="Times New Roman" w:hAnsi="Times New Roman"/>
          <w:rFonts w:ascii="Times New Roman" w:hAnsi="Times New Roman"/>
          <w:b w:val="0"/>
          <w:i w:val="0"/>
          <w:sz w:val="24"/>
        </w:rPr>
        <w:t>Registration: Not pre-registered (PROSPERO)</w:t>
      </w:r>
    </w:p>
    <w:p>
      <w:pPr>
        <w:jc w:val="center"/>
        <w:spacing w:line="480" w:lineRule="auto"/>
      </w:pPr>
      <w:r>
        <w:rPr>
          <w:rFonts w:ascii="Times New Roman" w:hAnsi="Times New Roman"/>
          <w:rFonts w:ascii="Times New Roman" w:hAnsi="Times New Roman"/>
          <w:b w:val="0"/>
          <w:i w:val="0"/>
          <w:sz w:val="24"/>
        </w:rPr>
        <w:t>Word count: ~9,500 words (excluding abstract, references, tables, figure captions)</w:t>
      </w:r>
    </w:p>
    <w:p>
      <w:pPr>
        <w:jc w:val="center"/>
        <w:spacing w:line="480" w:lineRule="auto"/>
      </w:pPr>
      <w:r>
        <w:rPr>
          <w:rFonts w:ascii="Times New Roman" w:hAnsi="Times New Roman"/>
          <w:rFonts w:ascii="Times New Roman" w:hAnsi="Times New Roman"/>
          <w:b w:val="0"/>
          <w:i w:val="0"/>
          <w:sz w:val="24"/>
        </w:rPr>
        <w:t>Figures: 4  |  Tables: 1  |  Supplementary tables: 1</w:t>
      </w:r>
    </w:p>
    <w:p>
      <w:pPr>
        <w:jc w:val="center"/>
        <w:spacing w:line="480" w:lineRule="auto"/>
      </w:pPr>
      <w:r>
        <w:rPr>
          <w:rFonts w:ascii="Times New Roman" w:hAnsi="Times New Roman"/>
          <w:rFonts w:ascii="Times New Roman" w:hAnsi="Times New Roman"/>
          <w:b w:val="0"/>
          <w:i w:val="0"/>
          <w:sz w:val="24"/>
        </w:rPr>
        <w:t>Corresponding author: [Name, email, address to be added]</w:t>
      </w:r>
    </w:p>
    <w:p>
      <w:r>
        <w:br w:type="page"/>
      </w:r>
    </w:p>
    <w:p>
      <w:pPr>
        <w:jc w:val="left"/>
        <w:spacing w:line="480" w:lineRule="auto"/>
      </w:pPr>
      <w:r>
        <w:rPr>
          <w:rFonts w:ascii="Times New Roman" w:hAnsi="Times New Roman"/>
          <w:rFonts w:ascii="Times New Roman" w:hAnsi="Times New Roman"/>
          <w:b/>
          <w:i w:val="0"/>
          <w:sz w:val="24"/>
        </w:rPr>
        <w:t>Abstract</w:t>
      </w:r>
    </w:p>
    <w:p>
      <w:pPr>
        <w:ind w:firstLine="720"/>
        <w:spacing w:line="480" w:lineRule="auto"/>
      </w:pPr>
      <w:r>
        <w:rPr>
          <w:rFonts w:ascii="Times New Roman" w:hAnsi="Times New Roman"/>
          <w:rFonts w:ascii="Times New Roman" w:hAnsi="Times New Roman"/>
          <w:b w:val="0"/>
          <w:i/>
          <w:sz w:val="24"/>
        </w:rPr>
        <w:t xml:space="preserve">Keywords: </w:t>
      </w:r>
      <w:r>
        <w:rPr>
          <w:rFonts w:ascii="Times New Roman" w:hAnsi="Times New Roman"/>
          <w:rFonts w:ascii="Times New Roman" w:hAnsi="Times New Roman"/>
          <w:b w:val="0"/>
          <w:i w:val="0"/>
          <w:sz w:val="24"/>
        </w:rPr>
        <w:t>parental education; socioeconomic status; neural development; EEG; ERP; fNIRS; fMRI; DTI; systematic review; early childhood</w:t>
      </w:r>
    </w:p>
    <w:p>
      <w:r>
        <w:br w:type="page"/>
      </w:r>
    </w:p>
    <w:p>
      <w:r>
        <w:br w:type="page"/>
      </w:r>
    </w:p>
    <w:p>
      <w:pPr>
        <w:jc w:val="left"/>
        <w:spacing w:line="480" w:lineRule="auto"/>
      </w:pPr>
      <w:r>
        <w:rPr>
          <w:rFonts w:ascii="Times New Roman" w:hAnsi="Times New Roman"/>
          <w:rFonts w:ascii="Times New Roman" w:hAnsi="Times New Roman"/>
          <w:b/>
          <w:i w:val="0"/>
          <w:sz w:val="24"/>
        </w:rPr>
        <w:t>1. Introduction</w:t>
      </w:r>
    </w:p>
    <w:p>
      <w:pPr>
        <w:jc w:val="left"/>
        <w:spacing w:line="480" w:lineRule="auto"/>
      </w:pPr>
      <w:r>
        <w:rPr>
          <w:rFonts w:ascii="Times New Roman" w:hAnsi="Times New Roman"/>
          <w:rFonts w:ascii="Times New Roman" w:hAnsi="Times New Roman"/>
          <w:b/>
          <w:i/>
          <w:sz w:val="24"/>
        </w:rPr>
        <w:t>1.1 Parental education level as a marker of early childhood environment</w:t>
      </w:r>
    </w:p>
    <w:p>
      <w:pPr>
        <w:ind w:firstLine="720"/>
        <w:jc w:val="left"/>
        <w:spacing w:line="480" w:lineRule="auto"/>
      </w:pPr>
      <w:r>
        <w:rPr>
          <w:rFonts w:ascii="Times New Roman" w:hAnsi="Times New Roman"/>
          <w:rFonts w:ascii="Times New Roman" w:hAnsi="Times New Roman"/>
          <w:b w:val="0"/>
          <w:i w:val="0"/>
          <w:sz w:val="24"/>
        </w:rPr>
        <w:t>Socioeconomic status (SES) is a multidimensional construct encompassing income, occupational prestige, and educational attainment. Among its components, parental education level offers particular advantages for research: it is measured with relatively low error, remains stable across a child's early years, and captures accumulated cognitive and cultural resources that shape the quality of the home learning environment (Bradley &amp; Corwyn, 2002; Hackman &amp; Farah, 2009). Population-based studies consistently show that children of more educated parents perform better on vocabulary, executive function, and academic achievement assessments (Duncan &amp; Magnuson, 2012; Hoff, 2013).</w:t>
      </w:r>
    </w:p>
    <w:p>
      <w:pPr>
        <w:ind w:firstLine="720"/>
        <w:jc w:val="left"/>
        <w:spacing w:line="480" w:lineRule="auto"/>
      </w:pPr>
      <w:r>
        <w:rPr>
          <w:rFonts w:ascii="Times New Roman" w:hAnsi="Times New Roman"/>
          <w:rFonts w:ascii="Times New Roman" w:hAnsi="Times New Roman"/>
          <w:b w:val="0"/>
          <w:i w:val="0"/>
          <w:sz w:val="24"/>
        </w:rPr>
        <w:t xml:space="preserve">Yet behavioral outcomes are the downstream products of neural development. To understand </w:t>
      </w:r>
      <w:r>
        <w:rPr>
          <w:rFonts w:ascii="Times New Roman" w:hAnsi="Times New Roman"/>
          <w:rFonts w:ascii="Times New Roman" w:hAnsi="Times New Roman"/>
          <w:b w:val="0"/>
          <w:i/>
          <w:sz w:val="24"/>
        </w:rPr>
        <w:t>how</w:t>
      </w:r>
      <w:r>
        <w:rPr>
          <w:rFonts w:ascii="Times New Roman" w:hAnsi="Times New Roman"/>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jc w:val="left"/>
        <w:spacing w:line="480" w:lineRule="auto"/>
      </w:pPr>
      <w:r>
        <w:rPr>
          <w:rFonts w:ascii="Times New Roman" w:hAnsi="Times New Roman"/>
          <w:rFonts w:ascii="Times New Roman" w:hAnsi="Times New Roman"/>
          <w:b/>
          <w:i/>
          <w:sz w:val="24"/>
        </w:rPr>
        <w:t>1.2 The 0–8 year window: neural plasticity and SES sensitivity</w:t>
      </w:r>
    </w:p>
    <w:p>
      <w:pPr>
        <w:ind w:firstLine="720"/>
        <w:jc w:val="left"/>
        <w:spacing w:line="480" w:lineRule="auto"/>
      </w:pPr>
      <w:r>
        <w:rPr>
          <w:rFonts w:ascii="Times New Roman" w:hAnsi="Times New Roman"/>
          <w:rFonts w:ascii="Times New Roman" w:hAnsi="Times New Roman"/>
          <w:b w:val="0"/>
          <w:i w:val="0"/>
          <w:sz w:val="24"/>
        </w:rPr>
        <w:t>The period from birth to age 8 represents an interval of extraordinary neural plasticity. Synaptic density peaks in prefrontal cortex by approximately 3 years of age; myelination of long-range white matter tracts accelerates from birth through middle childhood; and cortical surface area expands rapidly in the first postnatal years before reaching near-adult values (Stiles &amp; Jernigan, 2010; Knickmeyer et al., 2008). These processes are experience-dependent: environmental enrichment supports pruning and myelination, while chronic adversity—operating via stress physiology—can alter their trajectory (McEwen &amp; Gianaros, 2010).</w:t>
      </w:r>
    </w:p>
    <w:p>
      <w:pPr>
        <w:ind w:firstLine="720"/>
        <w:jc w:val="left"/>
        <w:spacing w:line="480" w:lineRule="auto"/>
      </w:pPr>
      <w:r>
        <w:rPr>
          <w:rFonts w:ascii="Times New Roman" w:hAnsi="Times New Roman"/>
          <w:rFonts w:ascii="Times New Roman" w:hAnsi="Times New Roman"/>
          <w:b w:val="0"/>
          <w:i w:val="0"/>
          <w:sz w:val="24"/>
        </w:rPr>
        <w:t xml:space="preserve">The socioeconomic gradient in brain structure and function has been documented in school-age and adolescent samples (Noble et al., 2015; Hackman et al., 2010). However, establishing </w:t>
      </w:r>
      <w:r>
        <w:rPr>
          <w:rFonts w:ascii="Times New Roman" w:hAnsi="Times New Roman"/>
          <w:rFonts w:ascii="Times New Roman" w:hAnsi="Times New Roman"/>
          <w:b w:val="0"/>
          <w:i/>
          <w:sz w:val="24"/>
        </w:rPr>
        <w:t>when</w:t>
      </w:r>
      <w:r>
        <w:rPr>
          <w:rFonts w:ascii="Times New Roman" w:hAnsi="Times New Roman"/>
          <w:rFonts w:ascii="Times New Roman" w:hAnsi="Times New Roman"/>
          <w:b w:val="0"/>
          <w:i w:val="0"/>
          <w:sz w:val="24"/>
        </w:rPr>
        <w:t xml:space="preserve"> in development parental education begins to shape neural outcomes is critical for understanding sensitive periods and for designing early intervention targets. Studies in neonates and infants—where confounding by the child's own educational experiences is minimal—offer a particularly clean window onto prenatal and earliest postnatal environmental influences.</w:t>
      </w:r>
    </w:p>
    <w:p>
      <w:pPr>
        <w:jc w:val="left"/>
        <w:spacing w:line="480" w:lineRule="auto"/>
      </w:pPr>
      <w:r>
        <w:rPr>
          <w:rFonts w:ascii="Times New Roman" w:hAnsi="Times New Roman"/>
          <w:rFonts w:ascii="Times New Roman" w:hAnsi="Times New Roman"/>
          <w:b/>
          <w:i/>
          <w:sz w:val="24"/>
        </w:rPr>
        <w:t>1.3 Existing literature and gaps</w:t>
      </w:r>
    </w:p>
    <w:p>
      <w:pPr>
        <w:ind w:firstLine="720"/>
        <w:jc w:val="left"/>
        <w:spacing w:line="480" w:lineRule="auto"/>
      </w:pPr>
      <w:r>
        <w:rPr>
          <w:rFonts w:ascii="Times New Roman" w:hAnsi="Times New Roman"/>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limitations of the existing literature are notable.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ind w:firstLine="720"/>
        <w:jc w:val="left"/>
        <w:spacing w:line="480" w:lineRule="auto"/>
      </w:pPr>
      <w:r>
        <w:rPr>
          <w:rFonts w:ascii="Times New Roman" w:hAnsi="Times New Roman"/>
          <w:rFonts w:ascii="Times New Roman" w:hAnsi="Times New Roman"/>
          <w:b w:val="0"/>
          <w:i w:val="0"/>
          <w:sz w:val="24"/>
        </w:rPr>
        <w:t>The present review addresses these gaps with three specific aims: (1) to identify studies reporting the independent association between parental education and neural measures in children aged 0–8 years; (2) to synthesize evidence across neural modalities and age windows; and (3) to evaluate candidate mechanisms—cognitive stimulation and chronic stress—supported by the included studies.</w:t>
      </w:r>
    </w:p>
    <w:p>
      <w:r>
        <w:br w:type="page"/>
      </w:r>
    </w:p>
    <w:p>
      <w:pPr>
        <w:jc w:val="left"/>
        <w:spacing w:line="480" w:lineRule="auto"/>
      </w:pPr>
      <w:r>
        <w:rPr>
          <w:rFonts w:ascii="Times New Roman" w:hAnsi="Times New Roman"/>
          <w:rFonts w:ascii="Times New Roman" w:hAnsi="Times New Roman"/>
          <w:b/>
          <w:i w:val="0"/>
          <w:sz w:val="24"/>
        </w:rPr>
        <w:t>2. Methods</w:t>
      </w:r>
    </w:p>
    <w:p>
      <w:pPr>
        <w:jc w:val="left"/>
        <w:spacing w:line="480" w:lineRule="auto"/>
      </w:pPr>
      <w:r>
        <w:rPr>
          <w:rFonts w:ascii="Times New Roman" w:hAnsi="Times New Roman"/>
          <w:rFonts w:ascii="Times New Roman" w:hAnsi="Times New Roman"/>
          <w:b/>
          <w:i/>
          <w:sz w:val="24"/>
        </w:rPr>
        <w:t>2.1 Protocol and registration</w:t>
      </w:r>
    </w:p>
    <w:p>
      <w:pPr>
        <w:ind w:firstLine="720"/>
        <w:jc w:val="left"/>
        <w:spacing w:line="480" w:lineRule="auto"/>
      </w:pPr>
      <w:r>
        <w:rPr>
          <w:rFonts w:ascii="Times New Roman" w:hAnsi="Times New Roman"/>
          <w:rFonts w:ascii="Times New Roman" w:hAnsi="Times New Roman"/>
          <w:b w:val="0"/>
          <w:i w:val="0"/>
          <w:sz w:val="24"/>
        </w:rPr>
        <w:t>This systematic review was conducted in accordance with the Preferred Reporting Items for Systematic Reviews and Meta-Analyses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jc w:val="left"/>
        <w:spacing w:line="480" w:lineRule="auto"/>
      </w:pPr>
      <w:r>
        <w:rPr>
          <w:rFonts w:ascii="Times New Roman" w:hAnsi="Times New Roman"/>
          <w:rFonts w:ascii="Times New Roman" w:hAnsi="Times New Roman"/>
          <w:b/>
          <w:i/>
          <w:sz w:val="24"/>
        </w:rPr>
        <w:t>2.2 Eligibility criteria</w:t>
      </w:r>
    </w:p>
    <w:p>
      <w:pPr>
        <w:ind w:firstLine="720"/>
        <w:jc w:val="left"/>
        <w:spacing w:line="480" w:lineRule="auto"/>
      </w:pPr>
      <w:r>
        <w:rPr>
          <w:rFonts w:ascii="Times New Roman" w:hAnsi="Times New Roman"/>
          <w:rFonts w:ascii="Times New Roman" w:hAnsi="Times New Roman"/>
          <w:b w:val="0"/>
          <w:i w:val="0"/>
          <w:sz w:val="24"/>
        </w:rPr>
        <w:t>Studies were eligible if they met all of the following criteria:</w:t>
      </w:r>
    </w:p>
    <w:p>
      <w:pPr>
        <w:ind w:firstLine="720"/>
        <w:jc w:val="left"/>
        <w:spacing w:line="480" w:lineRule="auto"/>
      </w:pPr>
      <w:r>
        <w:rPr>
          <w:rFonts w:ascii="Times New Roman" w:hAnsi="Times New Roman"/>
          <w:rFonts w:ascii="Times New Roman" w:hAnsi="Times New Roman"/>
          <w:b/>
          <w:i w:val="0"/>
          <w:sz w:val="24"/>
        </w:rPr>
        <w:t>Population (P):</w:t>
      </w:r>
      <w:r>
        <w:rPr>
          <w:rFonts w:ascii="Times New Roman" w:hAnsi="Times New Roman"/>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ind w:firstLine="720"/>
        <w:jc w:val="left"/>
        <w:spacing w:line="480" w:lineRule="auto"/>
      </w:pPr>
      <w:r>
        <w:rPr>
          <w:rFonts w:ascii="Times New Roman" w:hAnsi="Times New Roman"/>
          <w:rFonts w:ascii="Times New Roman" w:hAnsi="Times New Roman"/>
          <w:b/>
          <w:i w:val="0"/>
          <w:sz w:val="24"/>
        </w:rPr>
        <w:t>Exposure/Indicator (I/E):</w:t>
      </w:r>
      <w:r>
        <w:rPr>
          <w:rFonts w:ascii="Times New Roman" w:hAnsi="Times New Roman"/>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rFonts w:ascii="Times New Roman" w:hAnsi="Times New Roman"/>
          <w:b w:val="0"/>
          <w:i/>
          <w:sz w:val="24"/>
        </w:rPr>
        <w:t>b</w:t>
      </w:r>
      <w:r>
        <w:rPr>
          <w:rFonts w:ascii="Times New Roman" w:hAnsi="Times New Roman"/>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ind w:firstLine="720"/>
        <w:jc w:val="left"/>
        <w:spacing w:line="480" w:lineRule="auto"/>
      </w:pPr>
      <w:r>
        <w:rPr>
          <w:rFonts w:ascii="Times New Roman" w:hAnsi="Times New Roman"/>
          <w:rFonts w:ascii="Times New Roman" w:hAnsi="Times New Roman"/>
          <w:b/>
          <w:i w:val="0"/>
          <w:sz w:val="24"/>
        </w:rPr>
        <w:t>Outcome (O):</w:t>
      </w:r>
      <w:r>
        <w:rPr>
          <w:rFonts w:ascii="Times New Roman" w:hAnsi="Times New Roman"/>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ind w:firstLine="720"/>
        <w:jc w:val="left"/>
        <w:spacing w:line="480" w:lineRule="auto"/>
      </w:pPr>
      <w:r>
        <w:rPr>
          <w:rFonts w:ascii="Times New Roman" w:hAnsi="Times New Roman"/>
          <w:rFonts w:ascii="Times New Roman" w:hAnsi="Times New Roman"/>
          <w:b/>
          <w:i w:val="0"/>
          <w:sz w:val="24"/>
        </w:rPr>
        <w:t>Study design (S):</w:t>
      </w:r>
      <w:r>
        <w:rPr>
          <w:rFonts w:ascii="Times New Roman" w:hAnsi="Times New Roman"/>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ind w:firstLine="720"/>
        <w:jc w:val="left"/>
        <w:spacing w:line="480" w:lineRule="auto"/>
      </w:pPr>
      <w:r>
        <w:rPr>
          <w:rFonts w:ascii="Times New Roman" w:hAnsi="Times New Roman"/>
          <w:rFonts w:ascii="Times New Roman" w:hAnsi="Times New Roman"/>
          <w:b/>
          <w:i w:val="0"/>
          <w:sz w:val="24"/>
        </w:rPr>
        <w:t>Language:</w:t>
      </w:r>
      <w:r>
        <w:rPr>
          <w:rFonts w:ascii="Times New Roman" w:hAnsi="Times New Roman"/>
          <w:rFonts w:ascii="Times New Roman" w:hAnsi="Times New Roman"/>
          <w:b w:val="0"/>
          <w:i w:val="0"/>
          <w:sz w:val="24"/>
        </w:rPr>
        <w:t xml:space="preserve"> English only.</w:t>
      </w:r>
    </w:p>
    <w:p>
      <w:pPr>
        <w:jc w:val="left"/>
        <w:spacing w:line="480" w:lineRule="auto"/>
      </w:pPr>
      <w:r>
        <w:rPr>
          <w:rFonts w:ascii="Times New Roman" w:hAnsi="Times New Roman"/>
          <w:rFonts w:ascii="Times New Roman" w:hAnsi="Times New Roman"/>
          <w:b/>
          <w:i/>
          <w:sz w:val="24"/>
        </w:rPr>
        <w:t>2.3 Search strategy</w:t>
      </w:r>
    </w:p>
    <w:p>
      <w:pPr>
        <w:ind w:firstLine="720"/>
        <w:jc w:val="left"/>
        <w:spacing w:line="480" w:lineRule="auto"/>
      </w:pPr>
      <w:r>
        <w:rPr>
          <w:rFonts w:ascii="Times New Roman" w:hAnsi="Times New Roman"/>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ind w:firstLine="720"/>
        <w:jc w:val="left"/>
        <w:spacing w:line="480" w:lineRule="auto"/>
      </w:pPr>
      <w:r>
        <w:rPr>
          <w:rFonts w:ascii="Times New Roman" w:hAnsi="Times New Roman"/>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line="480" w:lineRule="auto"/>
      </w:pPr>
      <w:r>
        <w:rPr>
          <w:rFonts w:ascii="Times New Roman" w:hAnsi="Times New Roman"/>
          <w:rFonts w:ascii="Times New Roman" w:hAnsi="Times New Roman"/>
          <w:b w:val="0"/>
          <w:i/>
          <w:sz w:val="20"/>
        </w:rPr>
        <w:t>("parental education"[tiab] OR "maternal education"[tiab] OR "paternal education"[tiab] OR "educational attainment"[tiab] OR "socioeconomic status"[tiab] OR "socioeconomic background"[tiab] OR "family income"[tiab] OR "household income"[tiab] OR "child poverty"[tiab] OR "social disadvantage"[tiab]) AND ("infant*"[tiab] OR "newborn*"[tiab] OR "neonatal"[tiab] OR "toddler*"[tiab] OR "preschool*"[tiab] OR "pre-school*"[tiab] OR "young children"[tiab] OR "early childhood"[tiab] OR "kindergarten"[tiab] OR Child[MeSH] OR "Child, Preschool"[MeSH] OR Infant[MeSH]) AND ("EEG"[tiab] OR "electroencephalograph*"[tiab] OR "electrophysiolog*"[tiab] OR "event-related potential*"[tiab]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ind w:firstLine="720"/>
        <w:jc w:val="left"/>
        <w:spacing w:line="480" w:lineRule="auto"/>
      </w:pPr>
      <w:r>
        <w:rPr>
          <w:rFonts w:ascii="Times New Roman" w:hAnsi="Times New Roman"/>
          <w:rFonts w:ascii="Times New Roman" w:hAnsi="Times New Roman"/>
          <w:b w:val="0"/>
          <w:i w:val="0"/>
          <w:sz w:val="24"/>
        </w:rPr>
        <w:t>Search strings for PsycINFO, Web of Science, and Scopus were adapted to each database's controlled vocabulary and field codes. Full database-specific search strings are provided in Supplementary Materials.</w:t>
      </w:r>
    </w:p>
    <w:p>
      <w:pPr>
        <w:jc w:val="left"/>
        <w:spacing w:line="480" w:lineRule="auto"/>
      </w:pPr>
      <w:r>
        <w:rPr>
          <w:rFonts w:ascii="Times New Roman" w:hAnsi="Times New Roman"/>
          <w:rFonts w:ascii="Times New Roman" w:hAnsi="Times New Roman"/>
          <w:b/>
          <w:i/>
          <w:sz w:val="24"/>
        </w:rPr>
        <w:t>2.4 Study selection</w:t>
      </w:r>
    </w:p>
    <w:p>
      <w:pPr>
        <w:ind w:firstLine="720"/>
        <w:jc w:val="left"/>
        <w:spacing w:line="480" w:lineRule="auto"/>
      </w:pPr>
      <w:r>
        <w:rPr>
          <w:rFonts w:ascii="Times New Roman" w:hAnsi="Times New Roman"/>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ind w:firstLine="720"/>
        <w:jc w:val="left"/>
        <w:spacing w:line="480" w:lineRule="auto"/>
      </w:pPr>
      <w:r>
        <w:rPr>
          <w:rFonts w:ascii="Times New Roman" w:hAnsi="Times New Roman"/>
          <w:rFonts w:ascii="Times New Roman" w:hAnsi="Times New Roman"/>
          <w:b w:val="0"/>
          <w:i w:val="0"/>
          <w:sz w:val="24"/>
        </w:rPr>
        <w:t>Title and abstract screening proceeded in two stages:</w:t>
      </w:r>
    </w:p>
    <w:p>
      <w:pPr>
        <w:ind w:firstLine="720"/>
        <w:jc w:val="left"/>
        <w:spacing w:line="480" w:lineRule="auto"/>
      </w:pPr>
      <w:r>
        <w:rPr>
          <w:rFonts w:ascii="Times New Roman" w:hAnsi="Times New Roman"/>
          <w:rFonts w:ascii="Times New Roman" w:hAnsi="Times New Roman"/>
          <w:b/>
          <w:i w:val="0"/>
          <w:sz w:val="24"/>
        </w:rPr>
        <w:t>Stage 1 (Automated pre-screening):</w:t>
      </w:r>
      <w:r>
        <w:rPr>
          <w:rFonts w:ascii="Times New Roman" w:hAnsi="Times New Roman"/>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rFonts w:ascii="Times New Roman" w:hAnsi="Times New Roman"/>
          <w:b w:val="0"/>
          <w:i/>
          <w:sz w:val="24"/>
        </w:rPr>
        <w:t>brain development</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brain function</w:t>
      </w:r>
      <w:r>
        <w:rPr>
          <w:rFonts w:ascii="Times New Roman" w:hAnsi="Times New Roman"/>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ind w:firstLine="720"/>
        <w:jc w:val="left"/>
        <w:spacing w:line="480" w:lineRule="auto"/>
      </w:pPr>
      <w:r>
        <w:rPr>
          <w:rFonts w:ascii="Times New Roman" w:hAnsi="Times New Roman"/>
          <w:rFonts w:ascii="Times New Roman" w:hAnsi="Times New Roman"/>
          <w:b/>
          <w:i w:val="0"/>
          <w:sz w:val="24"/>
        </w:rPr>
        <w:t>Stage 2 (Title/abstract review):</w:t>
      </w:r>
      <w:r>
        <w:rPr>
          <w:rFonts w:ascii="Times New Roman" w:hAnsi="Times New Roman"/>
          <w:rFonts w:ascii="Times New Roman" w:hAnsi="Times New Roman"/>
          <w:b w:val="0"/>
          <w:i w:val="0"/>
          <w:sz w:val="24"/>
        </w:rPr>
        <w:t xml:space="preserve"> Two reviewers independently screened all 513 records against the full PICOS eligibility criteria. Disagreements were resolved by discussion and consensus. Stage 2 excluded 380 records, retaining 133 for full-text retrieval.</w:t>
      </w:r>
    </w:p>
    <w:p>
      <w:pPr>
        <w:ind w:firstLine="720"/>
        <w:jc w:val="left"/>
        <w:spacing w:line="480" w:lineRule="auto"/>
      </w:pPr>
      <w:r>
        <w:rPr>
          <w:rFonts w:ascii="Times New Roman" w:hAnsi="Times New Roman"/>
          <w:rFonts w:ascii="Times New Roman" w:hAnsi="Times New Roman"/>
          <w:b/>
          <w:i w:val="0"/>
          <w:sz w:val="24"/>
        </w:rPr>
        <w:t>Stage 3 (Full-text eligibility):</w:t>
      </w:r>
      <w:r>
        <w:rPr>
          <w:rFonts w:ascii="Times New Roman" w:hAnsi="Times New Roman"/>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w:t>
      </w:r>
      <w:r>
        <w:rPr>
          <w:rFonts w:ascii="Times New Roman" w:hAnsi="Times New Roman"/>
          <w:rFonts w:ascii="Times New Roman" w:hAnsi="Times New Roman"/>
          <w:b/>
          <w:i w:val="0"/>
          <w:sz w:val="24"/>
        </w:rPr>
        <w:t>16 studies</w:t>
      </w:r>
      <w:r>
        <w:rPr>
          <w:rFonts w:ascii="Times New Roman" w:hAnsi="Times New Roman"/>
          <w:rFonts w:ascii="Times New Roman" w:hAnsi="Times New Roman"/>
          <w:b w:val="0"/>
          <w:i w:val="0"/>
          <w:sz w:val="24"/>
        </w:rPr>
        <w:t xml:space="preserve"> meeting all inclusion criteria; 93 were excluded at full-text stage. Primary reasons for full-text exclusion were: parental education/SES not independently estimable (E2,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87); duplicate records of an included study or preprint superseded by a published version (E7,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 non-empirical publication type (E4,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and full text inaccessible (E6,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A PRISMA 2020 flow diagram is presented in Figure 1.</w:t>
      </w:r>
    </w:p>
    <w:p>
      <w:pPr>
        <w:jc w:val="left"/>
        <w:spacing w:line="480" w:lineRule="auto"/>
      </w:pPr>
      <w:r>
        <w:rPr>
          <w:rFonts w:ascii="Times New Roman" w:hAnsi="Times New Roman"/>
          <w:rFonts w:ascii="Times New Roman" w:hAnsi="Times New Roman"/>
          <w:b/>
          <w:i/>
          <w:sz w:val="24"/>
        </w:rPr>
        <w:t>2.5 Data extraction</w:t>
      </w:r>
    </w:p>
    <w:p>
      <w:pPr>
        <w:ind w:firstLine="720"/>
        <w:jc w:val="left"/>
        <w:spacing w:line="480" w:lineRule="auto"/>
      </w:pPr>
      <w:r>
        <w:rPr>
          <w:rFonts w:ascii="Times New Roman" w:hAnsi="Times New Roman"/>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Disagreements were resolved by consensus. For studies reporting multiple neural outcomes, data for each distinct neural measure were extracted separately.</w:t>
      </w:r>
    </w:p>
    <w:p>
      <w:pPr>
        <w:jc w:val="left"/>
        <w:spacing w:line="480" w:lineRule="auto"/>
      </w:pPr>
      <w:r>
        <w:rPr>
          <w:rFonts w:ascii="Times New Roman" w:hAnsi="Times New Roman"/>
          <w:rFonts w:ascii="Times New Roman" w:hAnsi="Times New Roman"/>
          <w:b/>
          <w:i/>
          <w:sz w:val="24"/>
        </w:rPr>
        <w:t>2.6 Quality assessment</w:t>
      </w:r>
    </w:p>
    <w:p>
      <w:pPr>
        <w:ind w:firstLine="720"/>
        <w:jc w:val="left"/>
        <w:spacing w:line="480" w:lineRule="auto"/>
      </w:pPr>
      <w:r>
        <w:rPr>
          <w:rFonts w:ascii="Times New Roman" w:hAnsi="Times New Roman"/>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jc w:val="left"/>
        <w:spacing w:line="480" w:lineRule="auto"/>
      </w:pPr>
      <w:r>
        <w:rPr>
          <w:rFonts w:ascii="Times New Roman" w:hAnsi="Times New Roman"/>
          <w:rFonts w:ascii="Times New Roman" w:hAnsi="Times New Roman"/>
          <w:b/>
          <w:i/>
          <w:sz w:val="24"/>
        </w:rPr>
        <w:t>2.7 Data synthesis</w:t>
      </w:r>
    </w:p>
    <w:p>
      <w:pPr>
        <w:ind w:firstLine="720"/>
        <w:jc w:val="left"/>
        <w:spacing w:line="480" w:lineRule="auto"/>
      </w:pPr>
      <w:r>
        <w:rPr>
          <w:rFonts w:ascii="Times New Roman" w:hAnsi="Times New Roman"/>
          <w:rFonts w:ascii="Times New Roman" w:hAnsi="Times New Roman"/>
          <w:b w:val="0"/>
          <w:i w:val="0"/>
          <w:sz w:val="24"/>
        </w:rPr>
        <w:t>Owing to substantial methodological heterogeneity across studies—spanning five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effect of parental education, (c) key statistical findings, and (d) relevant covariates controlled.</w:t>
      </w:r>
    </w:p>
    <w:p>
      <w:r>
        <w:br w:type="page"/>
      </w:r>
    </w:p>
    <w:p>
      <w:pPr>
        <w:jc w:val="left"/>
        <w:spacing w:line="480" w:lineRule="auto"/>
      </w:pPr>
      <w:r>
        <w:rPr>
          <w:rFonts w:ascii="Times New Roman" w:hAnsi="Times New Roman"/>
          <w:rFonts w:ascii="Times New Roman" w:hAnsi="Times New Roman"/>
          <w:b/>
          <w:i w:val="0"/>
          <w:sz w:val="24"/>
        </w:rPr>
        <w:t>3. Results</w:t>
      </w:r>
    </w:p>
    <w:p>
      <w:pPr>
        <w:jc w:val="left"/>
        <w:spacing w:line="480" w:lineRule="auto"/>
      </w:pPr>
      <w:r>
        <w:rPr>
          <w:rFonts w:ascii="Times New Roman" w:hAnsi="Times New Roman"/>
          <w:rFonts w:ascii="Times New Roman" w:hAnsi="Times New Roman"/>
          <w:b/>
          <w:i/>
          <w:sz w:val="24"/>
        </w:rPr>
        <w:t>3.1 Study selection and characteristics</w:t>
      </w:r>
    </w:p>
    <w:p>
      <w:pPr>
        <w:ind w:firstLine="720"/>
        <w:jc w:val="left"/>
        <w:spacing w:line="480" w:lineRule="auto"/>
      </w:pPr>
      <w:r>
        <w:rPr>
          <w:rFonts w:ascii="Times New Roman" w:hAnsi="Times New Roman"/>
          <w:rFonts w:ascii="Times New Roman" w:hAnsi="Times New Roman"/>
          <w:b w:val="0"/>
          <w:i w:val="0"/>
          <w:sz w:val="24"/>
        </w:rPr>
        <w:t xml:space="preserve">The systematic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22; retracted publication,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full text inaccessible,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87). Sixteen studies met all inclusion criteria and were included in the review (see Figure 1 for PRISMA flow diagram).</w:t>
      </w:r>
    </w:p>
    <w:p>
      <w:pPr>
        <w:ind w:firstLine="720"/>
        <w:jc w:val="left"/>
        <w:spacing w:line="480" w:lineRule="auto"/>
      </w:pPr>
      <w:r>
        <w:rPr>
          <w:rFonts w:ascii="Times New Roman" w:hAnsi="Times New Roman"/>
          <w:rFonts w:ascii="Times New Roman" w:hAnsi="Times New Roman"/>
          <w:b w:val="0"/>
          <w:i w:val="0"/>
          <w:sz w:val="24"/>
        </w:rPr>
        <w:t xml:space="preserve">The 16 included studies were published between 2010 and 2024 and involved a combined sample of approximately 2,126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functional MRI (fMRI;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diffusion tensor imaging (DTI;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 resting-state EEG (rsEEG;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 event-related potentials (ERP;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and functional near-infrared spectroscopy (fNIRS;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ind w:firstLine="720"/>
        <w:jc w:val="left"/>
        <w:spacing w:line="480" w:lineRule="auto"/>
      </w:pPr>
      <w:r>
        <w:rPr>
          <w:rFonts w:ascii="Times New Roman" w:hAnsi="Times New Roman"/>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followed by categorical highest educational attainment (university degree vs. lower;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and mean or highest parental education combined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w:t>
      </w:r>
    </w:p>
    <w:p>
      <w:pPr>
        <w:ind w:firstLine="720"/>
        <w:jc w:val="left"/>
        <w:spacing w:line="480" w:lineRule="auto"/>
      </w:pPr>
      <w:r>
        <w:rPr>
          <w:rFonts w:ascii="Times New Roman" w:hAnsi="Times New Roman"/>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12); four studies employed longitudinal designs with follow-up intervals ranging from 6 months to 3 years.</w:t>
      </w:r>
    </w:p>
    <w:p>
      <w:pPr>
        <w:ind w:firstLine="720"/>
        <w:jc w:val="left"/>
        <w:spacing w:line="480" w:lineRule="auto"/>
      </w:pPr>
      <w:r>
        <w:rPr>
          <w:rFonts w:ascii="Times New Roman" w:hAnsi="Times New Roman"/>
          <w:rFonts w:ascii="Times New Roman" w:hAnsi="Times New Roman"/>
          <w:b/>
          <w:i w:val="0"/>
          <w:sz w:val="24"/>
        </w:rPr>
        <w:t>Table 1. Characteristics of included studies (N = 16)</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003"/>
        <w:gridCol w:w="1003"/>
        <w:gridCol w:w="1003"/>
        <w:gridCol w:w="1003"/>
        <w:gridCol w:w="1003"/>
        <w:gridCol w:w="1003"/>
        <w:gridCol w:w="1003"/>
        <w:gridCol w:w="1003"/>
        <w:gridCol w:w="1003"/>
      </w:tblGrid>
      <w:tr>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Study</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Country</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sz w:val="18"/>
              </w:rPr>
              <w:t>N</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Age at measure</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Design</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Modality</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Education operationalization</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Effect direction</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NOS</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Wienke et al. (2024)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Germany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255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6–14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ERP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Negative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Wijeakumar et al. (2019)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India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5–8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fNIRS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Stiver et al. (2015)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Canada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Term-equivalent age → 2 years corrected age (longitudinal)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Longitudinal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Brito &amp; Noble (2020)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179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6–12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McKinnon et al. (2023)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261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Neonatal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9</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Zhu et al. (2023)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USA/UK/Norway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373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Birth–8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Longitudinal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Konrad et al. (2024)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Canada/Germany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105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Neonatal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(years);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Demir-Lira et al. (2021)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42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6–13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Ramphal et al. (2020)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112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Neonatal → 2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Longitudinal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Ozernov-Palchik et al. (2019)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5–8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Turesky et al. (2022)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~8.6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Maguire &amp; Schneider (2019)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90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8–15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Shephard et al. (2019)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Brazil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Conejero et al. (2018)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Spain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56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12–30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ERP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Ursache &amp; Noble (2016)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107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3–21 years (focus 6–9y)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w:t>
            </w:r>
          </w:p>
        </w:tc>
      </w:tr>
      <w:tr>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Lange et al. (2010)</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UK</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309</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4–18 years</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Parental education (categorical); edu-only</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7</w:t>
            </w:r>
          </w:p>
        </w:tc>
      </w:tr>
    </w:tbl>
    <w:p>
      <w:pPr>
        <w:spacing w:before="60" w:after="0"/>
      </w:pPr>
      <w:r>
        <w:rPr>
          <w:rFonts w:ascii="Times New Roman" w:hAnsi="Times New Roman"/>
          <w:rFonts w:ascii="Times New Roman" w:hAnsi="Times New Roman"/>
          <w:b/>
          <w:i/>
          <w:sz w:val="20"/>
        </w:rPr>
        <w:t xml:space="preserve">Note. </w:t>
      </w:r>
      <w:r>
        <w:rPr>
          <w:rFonts w:ascii="Times New Roman" w:hAnsi="Times New Roman"/>
          <w:rFonts w:ascii="Times New Roman" w:hAnsi="Times New Roman"/>
          <w:b w:val="0"/>
          <w:i w:val="0"/>
          <w:sz w:val="20"/>
        </w:rPr>
        <w:t xml:space="preserve">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rFonts w:ascii="Times New Roman" w:hAnsi="Times New Roman"/>
          <w:b w:val="0"/>
          <w:i/>
          <w:sz w:val="20"/>
        </w:rPr>
        <w:t>p</w:t>
      </w:r>
      <w:r>
        <w:rPr>
          <w:rFonts w:ascii="Times New Roman" w:hAnsi="Times New Roman"/>
          <w:rFonts w:ascii="Times New Roman" w:hAnsi="Times New Roman"/>
          <w:b w:val="0"/>
          <w:i w:val="0"/>
          <w:sz w:val="20"/>
        </w:rPr>
        <w:t xml:space="preserve"> = .025; association did not survive false-discovery rate (FDR) correction.</w:t>
      </w:r>
    </w:p>
    <w:p>
      <w:pPr>
        <w:jc w:val="left"/>
        <w:spacing w:line="480" w:lineRule="auto"/>
      </w:pPr>
      <w:r>
        <w:rPr>
          <w:rFonts w:ascii="Times New Roman" w:hAnsi="Times New Roman"/>
          <w:rFonts w:ascii="Times New Roman" w:hAnsi="Times New Roman"/>
          <w:b/>
          <w:i/>
          <w:sz w:val="24"/>
        </w:rPr>
        <w:t>3.2 Study quality</w:t>
      </w:r>
    </w:p>
    <w:p>
      <w:pPr>
        <w:ind w:firstLine="720"/>
        <w:jc w:val="left"/>
        <w:spacing w:line="480" w:lineRule="auto"/>
      </w:pPr>
      <w:r>
        <w:rPr>
          <w:rFonts w:ascii="Times New Roman" w:hAnsi="Times New Roman"/>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jc w:val="left"/>
        <w:spacing w:line="480" w:lineRule="auto"/>
      </w:pPr>
      <w:r>
        <w:rPr>
          <w:rFonts w:ascii="Times New Roman" w:hAnsi="Times New Roman"/>
          <w:rFonts w:ascii="Times New Roman" w:hAnsi="Times New Roman"/>
          <w:b/>
          <w:i/>
          <w:sz w:val="24"/>
        </w:rPr>
        <w:t>3.3 Electrophysiological evidence: resting-state EEG and event-related potentials</w:t>
      </w:r>
    </w:p>
    <w:p>
      <w:pPr>
        <w:ind w:firstLine="720"/>
        <w:jc w:val="left"/>
        <w:spacing w:line="480" w:lineRule="auto"/>
      </w:pPr>
      <w:r>
        <w:rPr>
          <w:rFonts w:ascii="Times New Roman" w:hAnsi="Times New Roman"/>
          <w:rFonts w:ascii="Times New Roman" w:hAnsi="Times New Roman"/>
          <w:b w:val="0"/>
          <w:i w:val="0"/>
          <w:sz w:val="24"/>
        </w:rPr>
        <w:t>Five studies examined electrophysiological markers—three using resting-state EEG and two using ERP components—covering infant, toddler, and school-age samples.</w:t>
      </w:r>
    </w:p>
    <w:p>
      <w:pPr>
        <w:jc w:val="left"/>
        <w:spacing w:line="480" w:lineRule="auto"/>
      </w:pPr>
      <w:r>
        <w:rPr>
          <w:rFonts w:ascii="Times New Roman" w:hAnsi="Times New Roman"/>
          <w:rFonts w:ascii="Times New Roman" w:hAnsi="Times New Roman"/>
          <w:b w:val="0"/>
          <w:i/>
          <w:sz w:val="24"/>
        </w:rPr>
        <w:t>3.3.1 Resting-state EEG</w:t>
      </w:r>
    </w:p>
    <w:p>
      <w:pPr>
        <w:ind w:firstLine="720"/>
        <w:jc w:val="left"/>
        <w:spacing w:line="480" w:lineRule="auto"/>
      </w:pPr>
      <w:r>
        <w:rPr>
          <w:rFonts w:ascii="Times New Roman" w:hAnsi="Times New Roman"/>
          <w:rFonts w:ascii="Times New Roman" w:hAnsi="Times New Roman"/>
          <w:b/>
          <w:i w:val="0"/>
          <w:sz w:val="24"/>
        </w:rPr>
        <w:t>Brito &amp; Noble (2020)</w:t>
      </w:r>
      <w:r>
        <w:rPr>
          <w:rFonts w:ascii="Times New Roman" w:hAnsi="Times New Roman"/>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rFonts w:ascii="Times New Roman" w:hAnsi="Times New Roman"/>
          <w:b w:val="0"/>
          <w:i/>
          <w:sz w:val="24"/>
        </w:rPr>
        <w:t>β</w:t>
      </w:r>
      <w:r>
        <w:rPr>
          <w:rFonts w:ascii="Times New Roman" w:hAnsi="Times New Roman"/>
          <w:rFonts w:ascii="Times New Roman" w:hAnsi="Times New Roman"/>
          <w:b w:val="0"/>
          <w:i w:val="0"/>
          <w:sz w:val="24"/>
        </w:rPr>
        <w:t xml:space="preserve"> = 0.05,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.025†). This pattern is consistent with more advanced cortical maturation in infancy, when alpha rhythms are emerging as markers of thalamocortical organization, though the association did not survive false-discovery rate (FDR) correction and should be interpreted cautiously.</w:t>
      </w:r>
    </w:p>
    <w:p>
      <w:pPr>
        <w:ind w:firstLine="720"/>
        <w:jc w:val="left"/>
        <w:spacing w:line="480" w:lineRule="auto"/>
      </w:pPr>
      <w:r>
        <w:rPr>
          <w:rFonts w:ascii="Times New Roman" w:hAnsi="Times New Roman"/>
          <w:rFonts w:ascii="Times New Roman" w:hAnsi="Times New Roman"/>
          <w:b/>
          <w:i w:val="0"/>
          <w:sz w:val="24"/>
        </w:rPr>
        <w:t>Maguire &amp; Schneider (2019)</w:t>
      </w:r>
      <w:r>
        <w:rPr>
          <w:rFonts w:ascii="Times New Roman" w:hAnsi="Times New Roman"/>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rFonts w:ascii="Times New Roman" w:hAnsi="Times New Roman"/>
          <w:b w:val="0"/>
          <w:i/>
          <w:sz w:val="24"/>
        </w:rPr>
        <w:t>t</w:t>
      </w:r>
      <w:r>
        <w:rPr>
          <w:rFonts w:ascii="Times New Roman" w:hAnsi="Times New Roman"/>
          <w:rFonts w:ascii="Times New Roman" w:hAnsi="Times New Roman"/>
          <w:b w:val="0"/>
          <w:i w:val="0"/>
          <w:sz w:val="24"/>
        </w:rPr>
        <w:t xml:space="preserve"> = 2.45,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.02) and higher theta power (</w:t>
      </w:r>
      <w:r>
        <w:rPr>
          <w:rFonts w:ascii="Times New Roman" w:hAnsi="Times New Roman"/>
          <w:rFonts w:ascii="Times New Roman" w:hAnsi="Times New Roman"/>
          <w:b w:val="0"/>
          <w:i/>
          <w:sz w:val="24"/>
        </w:rPr>
        <w:t>t</w:t>
      </w:r>
      <w:r>
        <w:rPr>
          <w:rFonts w:ascii="Times New Roman" w:hAnsi="Times New Roman"/>
          <w:rFonts w:ascii="Times New Roman" w:hAnsi="Times New Roman"/>
          <w:b w:val="0"/>
          <w:i w:val="0"/>
          <w:sz w:val="24"/>
        </w:rPr>
        <w:t xml:space="preserve"> = −2.80,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rFonts w:ascii="Times New Roman" w:hAnsi="Times New Roman"/>
          <w:b w:val="0"/>
          <w:i/>
          <w:sz w:val="24"/>
        </w:rPr>
        <w:t>β</w:t>
      </w:r>
      <w:r>
        <w:rPr>
          <w:rFonts w:ascii="Times New Roman" w:hAnsi="Times New Roman"/>
          <w:rFonts w:ascii="Times New Roman" w:hAnsi="Times New Roman"/>
          <w:b w:val="0"/>
          <w:i w:val="0"/>
          <w:sz w:val="24"/>
        </w:rPr>
        <w:t xml:space="preserve"> = 0.31,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ind w:firstLine="720"/>
        <w:jc w:val="left"/>
        <w:spacing w:line="480" w:lineRule="auto"/>
      </w:pPr>
      <w:r>
        <w:rPr>
          <w:rFonts w:ascii="Times New Roman" w:hAnsi="Times New Roman"/>
          <w:rFonts w:ascii="Times New Roman" w:hAnsi="Times New Roman"/>
          <w:b/>
          <w:i w:val="0"/>
          <w:sz w:val="24"/>
        </w:rPr>
        <w:t>Shephard et al. (2019)</w:t>
      </w:r>
      <w:r>
        <w:rPr>
          <w:rFonts w:ascii="Times New Roman" w:hAnsi="Times New Roman"/>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31) limits statistical power, and the pilot design precludes strong causal inference.</w:t>
      </w:r>
    </w:p>
    <w:p>
      <w:pPr>
        <w:ind w:firstLine="720"/>
        <w:jc w:val="left"/>
        <w:spacing w:line="480" w:lineRule="auto"/>
      </w:pPr>
      <w:r>
        <w:rPr>
          <w:rFonts w:ascii="Times New Roman" w:hAnsi="Times New Roman"/>
          <w:rFonts w:ascii="Times New Roman" w:hAnsi="Times New Roman"/>
          <w:b w:val="0"/>
          <w:i w:val="0"/>
          <w:sz w:val="24"/>
        </w:rPr>
        <w:t>Taken together, the five electrophysiological studies converge on the conclusion that higher parental education is associated with more differentiated and mature neural responses across multiple EEG and ERP indices, with convergent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jc w:val="left"/>
        <w:spacing w:line="480" w:lineRule="auto"/>
      </w:pPr>
      <w:r>
        <w:rPr>
          <w:rFonts w:ascii="Times New Roman" w:hAnsi="Times New Roman"/>
          <w:rFonts w:ascii="Times New Roman" w:hAnsi="Times New Roman"/>
          <w:b w:val="0"/>
          <w:i/>
          <w:sz w:val="24"/>
        </w:rPr>
        <w:t>3.3.2 Event-related potentials</w:t>
      </w:r>
    </w:p>
    <w:p>
      <w:pPr>
        <w:ind w:firstLine="720"/>
        <w:jc w:val="left"/>
        <w:spacing w:line="480" w:lineRule="auto"/>
      </w:pPr>
      <w:r>
        <w:rPr>
          <w:rFonts w:ascii="Times New Roman" w:hAnsi="Times New Roman"/>
          <w:rFonts w:ascii="Times New Roman" w:hAnsi="Times New Roman"/>
          <w:b/>
          <w:i w:val="0"/>
          <w:sz w:val="24"/>
        </w:rPr>
        <w:t>Conejero et al. (2018)</w:t>
      </w:r>
      <w:r>
        <w:rPr>
          <w:rFonts w:ascii="Times New Roman" w:hAnsi="Times New Roman"/>
          <w:rFonts w:ascii="Times New Roman" w:hAnsi="Times New Roman"/>
          <w:b w:val="0"/>
          <w:i w:val="0"/>
          <w:sz w:val="24"/>
        </w:rP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rFonts w:ascii="Times New Roman" w:hAnsi="Times New Roman"/>
          <w:rFonts w:ascii="Times New Roman" w:hAnsi="Times New Roman"/>
          <w:b w:val="0"/>
          <w:i/>
          <w:sz w:val="24"/>
        </w:rPr>
        <w:t>β</w:t>
      </w:r>
      <w:r>
        <w:rPr>
          <w:rFonts w:ascii="Times New Roman" w:hAnsi="Times New Roman"/>
          <w:rFonts w:ascii="Times New Roman" w:hAnsi="Times New Roman"/>
          <w:b w:val="0"/>
          <w:i w:val="0"/>
          <w:sz w:val="24"/>
        </w:rPr>
        <w:t xml:space="preserve"> = .355, </w:t>
      </w:r>
      <w:r>
        <w:rPr>
          <w:rFonts w:ascii="Times New Roman" w:hAnsi="Times New Roman"/>
          <w:rFonts w:ascii="Times New Roman" w:hAnsi="Times New Roman"/>
          <w:b w:val="0"/>
          <w:i/>
          <w:sz w:val="24"/>
        </w:rPr>
        <w:t>F</w:t>
      </w:r>
      <w:r>
        <w:rPr>
          <w:rFonts w:ascii="Times New Roman" w:hAnsi="Times New Roman"/>
          <w:rFonts w:ascii="Times New Roman" w:hAnsi="Times New Roman"/>
          <w:b w:val="0"/>
          <w:i w:val="0"/>
          <w:sz w:val="24"/>
        </w:rPr>
        <w:t xml:space="preserve">(1, 51) = 7.10,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.05), after controlling for child age and sex. This is notable because the ERN is typically not robust until 5–6 years in Western samples;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and the effect size was moderate to large.</w:t>
      </w:r>
    </w:p>
    <w:p>
      <w:pPr>
        <w:ind w:firstLine="720"/>
        <w:jc w:val="left"/>
        <w:spacing w:line="480" w:lineRule="auto"/>
      </w:pPr>
      <w:r>
        <w:rPr>
          <w:rFonts w:ascii="Times New Roman" w:hAnsi="Times New Roman"/>
          <w:rFonts w:ascii="Times New Roman" w:hAnsi="Times New Roman"/>
          <w:b/>
          <w:i w:val="0"/>
          <w:sz w:val="24"/>
        </w:rPr>
        <w:t>Wienke et al. (2024)</w:t>
      </w:r>
      <w:r>
        <w:rPr>
          <w:rFonts w:ascii="Times New Roman" w:hAnsi="Times New Roman"/>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rFonts w:ascii="Times New Roman" w:hAnsi="Times New Roman"/>
          <w:b w:val="0"/>
          <w:i/>
          <w:sz w:val="24"/>
        </w:rPr>
        <w:t>less</w:t>
      </w:r>
      <w:r>
        <w:rPr>
          <w:rFonts w:ascii="Times New Roman" w:hAnsi="Times New Roman"/>
          <w:rFonts w:ascii="Times New Roman" w:hAnsi="Times New Roman"/>
          <w:b w:val="0"/>
          <w:i w:val="0"/>
          <w:sz w:val="24"/>
        </w:rPr>
        <w:t xml:space="preserve"> neural differentiation between standard and deviant stimuli (</w:t>
      </w:r>
      <w:r>
        <w:rPr>
          <w:rFonts w:ascii="Times New Roman" w:hAnsi="Times New Roman"/>
          <w:rFonts w:ascii="Times New Roman" w:hAnsi="Times New Roman"/>
          <w:b w:val="0"/>
          <w:i/>
          <w:sz w:val="24"/>
        </w:rPr>
        <w:t>F</w:t>
      </w:r>
      <w:r>
        <w:rPr>
          <w:rFonts w:ascii="Times New Roman" w:hAnsi="Times New Roman"/>
          <w:rFonts w:ascii="Times New Roman" w:hAnsi="Times New Roman"/>
          <w:b w:val="0"/>
          <w:i w:val="0"/>
          <w:sz w:val="24"/>
        </w:rPr>
        <w:t xml:space="preserve">(3, 250) = 2.7,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jc w:val="left"/>
        <w:spacing w:line="480" w:lineRule="auto"/>
      </w:pPr>
      <w:r>
        <w:rPr>
          <w:rFonts w:ascii="Times New Roman" w:hAnsi="Times New Roman"/>
          <w:rFonts w:ascii="Times New Roman" w:hAnsi="Times New Roman"/>
          <w:b/>
          <w:i/>
          <w:sz w:val="24"/>
        </w:rPr>
        <w:t>3.4 Functional near-infrared spectroscopy evidence</w:t>
      </w:r>
    </w:p>
    <w:p>
      <w:pPr>
        <w:ind w:firstLine="720"/>
        <w:jc w:val="left"/>
        <w:spacing w:line="480" w:lineRule="auto"/>
      </w:pPr>
      <w:r>
        <w:rPr>
          <w:rFonts w:ascii="Times New Roman" w:hAnsi="Times New Roman"/>
          <w:rFonts w:ascii="Times New Roman" w:hAnsi="Times New Roman"/>
          <w:b w:val="0"/>
          <w:i w:val="0"/>
          <w:sz w:val="24"/>
        </w:rPr>
        <w:t>One study used fNIRS to examine the association between parental education and neural responses to a cognitive task in young children.</w:t>
      </w:r>
    </w:p>
    <w:p>
      <w:pPr>
        <w:ind w:firstLine="720"/>
        <w:jc w:val="left"/>
        <w:spacing w:line="480" w:lineRule="auto"/>
      </w:pPr>
      <w:r>
        <w:rPr>
          <w:rFonts w:ascii="Times New Roman" w:hAnsi="Times New Roman"/>
          <w:rFonts w:ascii="Times New Roman" w:hAnsi="Times New Roman"/>
          <w:b/>
          <w:i w:val="0"/>
          <w:sz w:val="24"/>
        </w:rPr>
        <w:t>Wijeakumar et al. (2019)</w:t>
      </w:r>
      <w:r>
        <w:rPr>
          <w:rFonts w:ascii="Times New Roman" w:hAnsi="Times New Roman"/>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rFonts w:ascii="Times New Roman" w:hAnsi="Times New Roman"/>
          <w:b w:val="0"/>
          <w:i/>
          <w:sz w:val="24"/>
        </w:rPr>
        <w:t>F</w:t>
      </w:r>
      <w:r>
        <w:rPr>
          <w:rFonts w:ascii="Times New Roman" w:hAnsi="Times New Roman"/>
          <w:rFonts w:ascii="Times New Roman" w:hAnsi="Times New Roman"/>
          <w:b w:val="0"/>
          <w:i w:val="0"/>
          <w:sz w:val="24"/>
        </w:rPr>
        <w:t xml:space="preserve">(1, 33) = 5.594,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w:t>
      </w:r>
    </w:p>
    <w:p>
      <w:pPr>
        <w:jc w:val="left"/>
        <w:spacing w:line="480" w:lineRule="auto"/>
      </w:pPr>
      <w:r>
        <w:rPr>
          <w:rFonts w:ascii="Times New Roman" w:hAnsi="Times New Roman"/>
          <w:rFonts w:ascii="Times New Roman" w:hAnsi="Times New Roman"/>
          <w:b/>
          <w:i/>
          <w:sz w:val="24"/>
        </w:rPr>
        <w:t>3.5 Neuroimaging evidence: structural MRI, functional MRI, and diffusion tensor imaging</w:t>
      </w:r>
    </w:p>
    <w:p>
      <w:pPr>
        <w:ind w:firstLine="720"/>
        <w:jc w:val="left"/>
        <w:spacing w:line="480" w:lineRule="auto"/>
      </w:pPr>
      <w:r>
        <w:rPr>
          <w:rFonts w:ascii="Times New Roman" w:hAnsi="Times New Roman"/>
          <w:rFonts w:ascii="Times New Roman" w:hAnsi="Times New Roman"/>
          <w:b w:val="0"/>
          <w:i w:val="0"/>
          <w:sz w:val="24"/>
        </w:rPr>
        <w:t>Eleven studies used structural or functional neuroimaging methods, organized below by modality.</w:t>
      </w:r>
    </w:p>
    <w:p>
      <w:pPr>
        <w:jc w:val="left"/>
        <w:spacing w:line="480" w:lineRule="auto"/>
      </w:pPr>
      <w:r>
        <w:rPr>
          <w:rFonts w:ascii="Times New Roman" w:hAnsi="Times New Roman"/>
          <w:rFonts w:ascii="Times New Roman" w:hAnsi="Times New Roman"/>
          <w:b w:val="0"/>
          <w:i/>
          <w:sz w:val="24"/>
        </w:rPr>
        <w:t>3.5.1 Structural MRI</w:t>
      </w:r>
    </w:p>
    <w:p>
      <w:pPr>
        <w:ind w:firstLine="720"/>
        <w:jc w:val="left"/>
        <w:spacing w:line="480" w:lineRule="auto"/>
      </w:pPr>
      <w:r>
        <w:rPr>
          <w:rFonts w:ascii="Times New Roman" w:hAnsi="Times New Roman"/>
          <w:rFonts w:ascii="Times New Roman" w:hAnsi="Times New Roman"/>
          <w:b w:val="0"/>
          <w:i w:val="0"/>
          <w:sz w:val="24"/>
        </w:rPr>
        <w:t>Five studies examined associations between parental education and macroscopic brain structure, including cortical surface area, subcortical volumes, and cerebellar morphometry.</w:t>
      </w:r>
    </w:p>
    <w:p>
      <w:pPr>
        <w:ind w:firstLine="720"/>
        <w:jc w:val="left"/>
        <w:spacing w:line="480" w:lineRule="auto"/>
      </w:pPr>
      <w:r>
        <w:rPr>
          <w:rFonts w:ascii="Times New Roman" w:hAnsi="Times New Roman"/>
          <w:rFonts w:ascii="Times New Roman" w:hAnsi="Times New Roman"/>
          <w:b/>
          <w:i w:val="0"/>
          <w:sz w:val="24"/>
        </w:rPr>
        <w:t>McKinnon et al. (2023)</w:t>
      </w:r>
      <w:r>
        <w:rPr>
          <w:rFonts w:ascii="Times New Roman" w:hAnsi="Times New Roman"/>
          <w:rFonts w:ascii="Times New Roman" w:hAnsi="Times New Roman"/>
          <w:b w:val="0"/>
          <w:i w:val="0"/>
          <w:sz w:val="24"/>
        </w:rPr>
        <w:t xml:space="preserve"> conducted the earliest-age structural MRI study in this review, assessing neonatal brain morphology in 261 term-born infants within days of birth in the United Kingdom. Maternal education (university degree vs. lower) was the primary exposure. Higher maternal education was independently associated with larger cortical surface area across multiple frontal, parietal, and temporal regions after FDR correction (</w:t>
      </w:r>
      <w:r>
        <w:rPr>
          <w:rFonts w:ascii="Times New Roman" w:hAnsi="Times New Roman"/>
          <w:rFonts w:ascii="Times New Roman" w:hAnsi="Times New Roman"/>
          <w:b w:val="0"/>
          <w:i/>
          <w:sz w:val="24"/>
        </w:rPr>
        <w:t>β</w:t>
      </w:r>
      <w:r>
        <w:rPr>
          <w:rFonts w:ascii="Times New Roman" w:hAnsi="Times New Roman"/>
          <w:rFonts w:ascii="Times New Roman" w:hAnsi="Times New Roman"/>
          <w:b w:val="0"/>
          <w:i w:val="0"/>
          <w:sz w:val="24"/>
        </w:rPr>
        <w:t xml:space="preserve"> = 0.09–0.15 across regions). Because the infants were assessed at birth, before any direct educational experience of their own, this finding implies that the effects of maternal education on fetal cortical development begin </w:t>
      </w:r>
      <w:r>
        <w:rPr>
          <w:rFonts w:ascii="Times New Roman" w:hAnsi="Times New Roman"/>
          <w:rFonts w:ascii="Times New Roman" w:hAnsi="Times New Roman"/>
          <w:b w:val="0"/>
          <w:i/>
          <w:sz w:val="24"/>
        </w:rPr>
        <w:t>in utero</w:t>
      </w:r>
      <w:r>
        <w:rPr>
          <w:rFonts w:ascii="Times New Roman" w:hAnsi="Times New Roman"/>
          <w:rFonts w:ascii="Times New Roman" w:hAnsi="Times New Roman"/>
          <w:b w:val="0"/>
          <w:i w:val="0"/>
          <w:sz w:val="24"/>
        </w:rPr>
        <w:t>—via prenatal mechanisms such as nutritional status, hormonal stress regulation, or the quality and quantity of prenatal healthcare. This is the highest-quality study in the review (NOS = 9) and provides particularly strong evidence for an early-emerging, prenatal pathway from maternal education to neural structure.</w:t>
      </w:r>
    </w:p>
    <w:p>
      <w:pPr>
        <w:ind w:firstLine="720"/>
        <w:jc w:val="left"/>
        <w:spacing w:line="480" w:lineRule="auto"/>
      </w:pPr>
      <w:r>
        <w:rPr>
          <w:rFonts w:ascii="Times New Roman" w:hAnsi="Times New Roman"/>
          <w:rFonts w:ascii="Times New Roman" w:hAnsi="Times New Roman"/>
          <w:b/>
          <w:i w:val="0"/>
          <w:sz w:val="24"/>
        </w:rPr>
        <w:t>Konrad et al. (2024)</w:t>
      </w:r>
      <w:r>
        <w:rPr>
          <w:rFonts w:ascii="Times New Roman" w:hAnsi="Times New Roman"/>
          <w:rFonts w:ascii="Times New Roman" w:hAnsi="Times New Roman"/>
          <w:b w:val="0"/>
          <w:i w:val="0"/>
          <w:sz w:val="24"/>
        </w:rPr>
        <w:t xml:space="preserve"> similarly examined neonatal brain morphology in 105 term newborns from Canada and Germany. The primary finding was a moderation effect rather than a main effect: maternal education (years of schooling) moderated the association between hippocampal volume and a cognitive composite assessed at 6–12 months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.005 for the interaction). Specifically, the positive relationship between neonatal hippocampal volume and later cognitive performance was stronger in infants of higher-educated mothers. This pattern suggests that maternal education does not simply shift brain size upward, but rather amplifies the functional significance of existing neural resources—potentially through a richer postnatal learning environment that capitalizes on hippocampal-dependent memory processes during the first year of life.</w:t>
      </w:r>
    </w:p>
    <w:p>
      <w:pPr>
        <w:ind w:firstLine="720"/>
        <w:jc w:val="left"/>
        <w:spacing w:line="480" w:lineRule="auto"/>
      </w:pPr>
      <w:r>
        <w:rPr>
          <w:rFonts w:ascii="Times New Roman" w:hAnsi="Times New Roman"/>
          <w:rFonts w:ascii="Times New Roman" w:hAnsi="Times New Roman"/>
          <w:b/>
          <w:i w:val="0"/>
          <w:sz w:val="24"/>
        </w:rPr>
        <w:t>Stiver et al. (2015)</w:t>
      </w:r>
      <w:r>
        <w:rPr>
          <w:rFonts w:ascii="Times New Roman" w:hAnsi="Times New Roman"/>
          <w:rFonts w:ascii="Times New Roman" w:hAnsi="Times New Roman"/>
          <w:b w:val="0"/>
          <w:i w:val="0"/>
          <w:sz w:val="24"/>
        </w:rPr>
        <w:t xml:space="preserve"> followed 26 toddlers longitudinally in Canada, acquiring structural MRI at multiple time points across the toddler period. Parental education (categorical) predicted total brain volume trajectory, with children of higher-educated parents showing significantly larger volumes at the 2-year assessment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.006). The longitudinal design strengthens causal inference relative to cross-sectional studies, and the toddler period assessed here—characterized by rapid myelination and synaptic pruning—represents a developmentally sensitive interval for environmental modulation of brain growth.</w:t>
      </w:r>
    </w:p>
    <w:p>
      <w:pPr>
        <w:ind w:firstLine="720"/>
        <w:jc w:val="left"/>
        <w:spacing w:line="480" w:lineRule="auto"/>
      </w:pPr>
      <w:r>
        <w:rPr>
          <w:rFonts w:ascii="Times New Roman" w:hAnsi="Times New Roman"/>
          <w:rFonts w:ascii="Times New Roman" w:hAnsi="Times New Roman"/>
          <w:b/>
          <w:i w:val="0"/>
          <w:sz w:val="24"/>
        </w:rPr>
        <w:t>Zhu et al. (2023)</w:t>
      </w:r>
      <w:r>
        <w:rPr>
          <w:rFonts w:ascii="Times New Roman" w:hAnsi="Times New Roman"/>
          <w:rFonts w:ascii="Times New Roman" w:hAnsi="Times New Roman"/>
          <w:b w:val="0"/>
          <w:i w:val="0"/>
          <w:sz w:val="24"/>
        </w:rPr>
        <w:t xml:space="preserve"> analyzed data from a multinational longitudinal cohort (United States, United Kingdom, Norway;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ind w:firstLine="720"/>
        <w:jc w:val="left"/>
        <w:spacing w:line="480" w:lineRule="auto"/>
      </w:pPr>
      <w:r>
        <w:rPr>
          <w:rFonts w:ascii="Times New Roman" w:hAnsi="Times New Roman"/>
          <w:rFonts w:ascii="Times New Roman" w:hAnsi="Times New Roman"/>
          <w:b w:val="0"/>
          <w:i w:val="0"/>
          <w:sz w:val="24"/>
        </w:rPr>
        <w:t xml:space="preserve">One study warrants separate consideration. </w:t>
      </w:r>
      <w:r>
        <w:rPr>
          <w:rFonts w:ascii="Times New Roman" w:hAnsi="Times New Roman"/>
          <w:rFonts w:ascii="Times New Roman" w:hAnsi="Times New Roman"/>
          <w:b/>
          <w:i w:val="0"/>
          <w:sz w:val="24"/>
        </w:rPr>
        <w:t>Lange et al. (2010)</w:t>
      </w:r>
      <w:r>
        <w:rPr>
          <w:rFonts w:ascii="Times New Roman" w:hAnsi="Times New Roman"/>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jc w:val="left"/>
        <w:spacing w:line="480" w:lineRule="auto"/>
      </w:pPr>
      <w:r>
        <w:rPr>
          <w:rFonts w:ascii="Times New Roman" w:hAnsi="Times New Roman"/>
          <w:rFonts w:ascii="Times New Roman" w:hAnsi="Times New Roman"/>
          <w:b w:val="0"/>
          <w:i/>
          <w:sz w:val="24"/>
        </w:rPr>
        <w:t>3.5.2 Functional MRI</w:t>
      </w:r>
    </w:p>
    <w:p>
      <w:pPr>
        <w:ind w:firstLine="720"/>
        <w:jc w:val="left"/>
        <w:spacing w:line="480" w:lineRule="auto"/>
      </w:pPr>
      <w:r>
        <w:rPr>
          <w:rFonts w:ascii="Times New Roman" w:hAnsi="Times New Roman"/>
          <w:rFonts w:ascii="Times New Roman" w:hAnsi="Times New Roman"/>
          <w:b w:val="0"/>
          <w:i w:val="0"/>
          <w:sz w:val="24"/>
        </w:rPr>
        <w:t>Two studies used fMRI to examine task-evoked activation or resting-state functional connectivity.</w:t>
      </w:r>
    </w:p>
    <w:p>
      <w:pPr>
        <w:ind w:firstLine="720"/>
        <w:jc w:val="left"/>
        <w:spacing w:line="480" w:lineRule="auto"/>
      </w:pPr>
      <w:r>
        <w:rPr>
          <w:rFonts w:ascii="Times New Roman" w:hAnsi="Times New Roman"/>
          <w:rFonts w:ascii="Times New Roman" w:hAnsi="Times New Roman"/>
          <w:b/>
          <w:i w:val="0"/>
          <w:sz w:val="24"/>
        </w:rPr>
        <w:t>Ramphal et al. (2020)</w:t>
      </w:r>
      <w:r>
        <w:rPr>
          <w:rFonts w:ascii="Times New Roman" w:hAnsi="Times New Roman"/>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ind w:firstLine="720"/>
        <w:jc w:val="left"/>
        <w:spacing w:line="480" w:lineRule="auto"/>
      </w:pPr>
      <w:r>
        <w:rPr>
          <w:rFonts w:ascii="Times New Roman" w:hAnsi="Times New Roman"/>
          <w:rFonts w:ascii="Times New Roman" w:hAnsi="Times New Roman"/>
          <w:b/>
          <w:i w:val="0"/>
          <w:sz w:val="24"/>
        </w:rPr>
        <w:t>Demir-Lira et al. (2021)</w:t>
      </w:r>
      <w:r>
        <w:rPr>
          <w:rFonts w:ascii="Times New Roman" w:hAnsi="Times New Roman"/>
          <w:rFonts w:ascii="Times New Roman" w:hAnsi="Times New Roman"/>
          <w:b w:val="0"/>
          <w:i w:val="0"/>
          <w:sz w:val="24"/>
        </w:rPr>
        <w:t xml:space="preserve"> examined fMRI activation during a language comprehension task in 42 children aged 6–13 years in the United States. Parental education (years of schooling) independently predicted activation in left inferior frontal gyrus during sentence processing after small-volume correction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.05, SVC). Left IFG activation during language tasks is associated with phonological processing and syntactic parsing; the finding that parental education, independently of other SES indicators, predicts its recruitment during language comprehension is consistent with a pathway from more linguistically enriched home environments to more efficient language-network engagement. The relatively small sample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42) and the older age range (some children exceeding the 0–8 year target window) limit the generalizability of this finding to the core developmental period under review.</w:t>
      </w:r>
    </w:p>
    <w:p>
      <w:pPr>
        <w:jc w:val="left"/>
        <w:spacing w:line="480" w:lineRule="auto"/>
      </w:pPr>
      <w:r>
        <w:rPr>
          <w:rFonts w:ascii="Times New Roman" w:hAnsi="Times New Roman"/>
          <w:rFonts w:ascii="Times New Roman" w:hAnsi="Times New Roman"/>
          <w:b w:val="0"/>
          <w:i/>
          <w:sz w:val="24"/>
        </w:rPr>
        <w:t>3.5.3 Diffusion tensor imaging</w:t>
      </w:r>
    </w:p>
    <w:p>
      <w:pPr>
        <w:ind w:firstLine="720"/>
        <w:jc w:val="left"/>
        <w:spacing w:line="480" w:lineRule="auto"/>
      </w:pPr>
      <w:r>
        <w:rPr>
          <w:rFonts w:ascii="Times New Roman" w:hAnsi="Times New Roman"/>
          <w:rFonts w:ascii="Times New Roman" w:hAnsi="Times New Roman"/>
          <w:b w:val="0"/>
          <w:i w:val="0"/>
          <w:sz w:val="24"/>
        </w:rPr>
        <w:t>Three studies used DTI to examine white matter microstructure, assessed via fractional anisotropy (FA), a marker of axonal organization and myelination.</w:t>
      </w:r>
    </w:p>
    <w:p>
      <w:pPr>
        <w:ind w:firstLine="720"/>
        <w:jc w:val="left"/>
        <w:spacing w:line="480" w:lineRule="auto"/>
      </w:pPr>
      <w:r>
        <w:rPr>
          <w:rFonts w:ascii="Times New Roman" w:hAnsi="Times New Roman"/>
          <w:rFonts w:ascii="Times New Roman" w:hAnsi="Times New Roman"/>
          <w:b/>
          <w:i w:val="0"/>
          <w:sz w:val="24"/>
        </w:rPr>
        <w:t>Turesky et al. (2022)</w:t>
      </w:r>
      <w:r>
        <w:rPr>
          <w:rFonts w:ascii="Times New Roman" w:hAnsi="Times New Roman"/>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w:t>
      </w:r>
      <w:r>
        <w:rPr>
          <w:rFonts w:ascii="Times New Roman" w:hAnsi="Times New Roman"/>
          <w:rFonts w:ascii="Times New Roman" w:hAnsi="Times New Roman"/>
          <w:b w:val="0"/>
          <w:i/>
          <w:sz w:val="24"/>
        </w:rPr>
        <w:t>r</w:t>
      </w:r>
      <w:r>
        <w:rPr>
          <w:rFonts w:ascii="Times New Roman" w:hAnsi="Times New Roman"/>
          <w:rFonts w:ascii="Times New Roman" w:hAnsi="Times New Roman"/>
          <w:b w:val="0"/>
          <w:i w:val="0"/>
          <w:sz w:val="24"/>
        </w:rPr>
        <w:t xml:space="preserve"> = 0.48,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education—begins shaping white matter organization within the first year of life.</w:t>
      </w:r>
    </w:p>
    <w:p>
      <w:pPr>
        <w:ind w:firstLine="720"/>
        <w:jc w:val="left"/>
        <w:spacing w:line="480" w:lineRule="auto"/>
      </w:pPr>
      <w:r>
        <w:rPr>
          <w:rFonts w:ascii="Times New Roman" w:hAnsi="Times New Roman"/>
          <w:rFonts w:ascii="Times New Roman" w:hAnsi="Times New Roman"/>
          <w:b/>
          <w:i w:val="0"/>
          <w:sz w:val="24"/>
        </w:rPr>
        <w:t>Ozernov-Palchik et al. (2019)</w:t>
      </w:r>
      <w:r>
        <w:rPr>
          <w:rFonts w:ascii="Times New Roman" w:hAnsi="Times New Roman"/>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rFonts w:ascii="Times New Roman" w:hAnsi="Times New Roman"/>
          <w:b w:val="0"/>
          <w:i/>
          <w:sz w:val="24"/>
        </w:rPr>
        <w:t>r</w:t>
      </w:r>
      <w:r>
        <w:rPr>
          <w:rFonts w:ascii="Times New Roman" w:hAnsi="Times New Roman"/>
          <w:rFonts w:ascii="Times New Roman" w:hAnsi="Times New Roman"/>
          <w:b w:val="0"/>
          <w:i w:val="0"/>
          <w:sz w:val="24"/>
        </w:rPr>
        <w:t xml:space="preserve"> = 0.33,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rFonts w:ascii="Times New Roman" w:hAnsi="Times New Roman"/>
          <w:b w:val="0"/>
          <w:i/>
          <w:sz w:val="24"/>
        </w:rPr>
        <w:t>independently</w:t>
      </w:r>
      <w:r>
        <w:rPr>
          <w:rFonts w:ascii="Times New Roman" w:hAnsi="Times New Roman"/>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ind w:firstLine="720"/>
        <w:jc w:val="left"/>
        <w:spacing w:line="480" w:lineRule="auto"/>
      </w:pPr>
      <w:r>
        <w:rPr>
          <w:rFonts w:ascii="Times New Roman" w:hAnsi="Times New Roman"/>
          <w:rFonts w:ascii="Times New Roman" w:hAnsi="Times New Roman"/>
          <w:b/>
          <w:i w:val="0"/>
          <w:sz w:val="24"/>
        </w:rPr>
        <w:t>Ursache &amp; Noble (2016)</w:t>
      </w:r>
      <w:r>
        <w:rPr>
          <w:rFonts w:ascii="Times New Roman" w:hAnsi="Times New Roman"/>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ind w:firstLine="720"/>
        <w:jc w:val="left"/>
        <w:spacing w:line="480" w:lineRule="auto"/>
      </w:pPr>
      <w:r>
        <w:rPr>
          <w:rFonts w:ascii="Times New Roman" w:hAnsi="Times New Roman"/>
          <w:rFonts w:ascii="Times New Roman" w:hAnsi="Times New Roman"/>
          <w:b w:val="0"/>
          <w:i w:val="0"/>
          <w:sz w:val="24"/>
        </w:rPr>
        <w:t>Across the three DTI studies, the most consistently implicated tract was the arcuate fasciculus, suggesting that parental education effects on white matter are particularly concentrated in language-relevant circuitry. This is consistent with the hypothesis that the primary vehicle of educational advantage is linguistic—specifically, the quantity and quality of language directed at the child from birth.</w:t>
      </w:r>
    </w:p>
    <w:p>
      <w:pPr>
        <w:jc w:val="left"/>
        <w:spacing w:line="480" w:lineRule="auto"/>
      </w:pPr>
      <w:r>
        <w:rPr>
          <w:rFonts w:ascii="Times New Roman" w:hAnsi="Times New Roman"/>
          <w:rFonts w:ascii="Times New Roman" w:hAnsi="Times New Roman"/>
          <w:b/>
          <w:i/>
          <w:sz w:val="24"/>
        </w:rPr>
        <w:t>3.6 Candidate mechanisms: cognitive stimulation and chronic stress pathways</w:t>
      </w:r>
    </w:p>
    <w:p>
      <w:pPr>
        <w:ind w:firstLine="720"/>
        <w:jc w:val="left"/>
        <w:spacing w:line="480" w:lineRule="auto"/>
      </w:pPr>
      <w:r>
        <w:rPr>
          <w:rFonts w:ascii="Times New Roman" w:hAnsi="Times New Roman"/>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jc w:val="left"/>
        <w:spacing w:line="480" w:lineRule="auto"/>
      </w:pPr>
      <w:r>
        <w:rPr>
          <w:rFonts w:ascii="Times New Roman" w:hAnsi="Times New Roman"/>
          <w:rFonts w:ascii="Times New Roman" w:hAnsi="Times New Roman"/>
          <w:b w:val="0"/>
          <w:i/>
          <w:sz w:val="24"/>
        </w:rPr>
        <w:t>3.6.1 The cognitive stimulation pathway</w:t>
      </w:r>
    </w:p>
    <w:p>
      <w:pPr>
        <w:ind w:firstLine="720"/>
        <w:jc w:val="left"/>
        <w:spacing w:line="480" w:lineRule="auto"/>
      </w:pPr>
      <w:r>
        <w:rPr>
          <w:rFonts w:ascii="Times New Roman" w:hAnsi="Times New Roman"/>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that directly promote synaptic strengthening and myelination in developing neural circuits (Hart &amp; Risley, 1995; Tomalski &amp; Johnson, 2010). Two converging lines of evidence from this review support this pathway.</w:t>
      </w:r>
    </w:p>
    <w:p>
      <w:pPr>
        <w:ind w:firstLine="720"/>
        <w:jc w:val="left"/>
        <w:spacing w:line="480" w:lineRule="auto"/>
      </w:pPr>
      <w:r>
        <w:rPr>
          <w:rFonts w:ascii="Times New Roman" w:hAnsi="Times New Roman"/>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most parsimoniously explained by systematic differences in the quantity and quality of language directed at the child—a dimension of the home environment that varies more strongly with educational attainment than with income per se (Hoff, 2003; Rowe, 2008).</w:t>
      </w:r>
    </w:p>
    <w:p>
      <w:pPr>
        <w:ind w:firstLine="720"/>
        <w:jc w:val="left"/>
        <w:spacing w:line="480" w:lineRule="auto"/>
      </w:pPr>
      <w:r>
        <w:rPr>
          <w:rFonts w:ascii="Times New Roman" w:hAnsi="Times New Roman"/>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jc w:val="left"/>
        <w:spacing w:line="480" w:lineRule="auto"/>
      </w:pPr>
      <w:r>
        <w:rPr>
          <w:rFonts w:ascii="Times New Roman" w:hAnsi="Times New Roman"/>
          <w:rFonts w:ascii="Times New Roman" w:hAnsi="Times New Roman"/>
          <w:b w:val="0"/>
          <w:i/>
          <w:sz w:val="24"/>
        </w:rPr>
        <w:t>3.6.2 The chronic stress pathway</w:t>
      </w:r>
    </w:p>
    <w:p>
      <w:pPr>
        <w:ind w:firstLine="720"/>
        <w:jc w:val="left"/>
        <w:spacing w:line="480" w:lineRule="auto"/>
      </w:pPr>
      <w:r>
        <w:rPr>
          <w:rFonts w:ascii="Times New Roman" w:hAnsi="Times New Roman"/>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ind w:firstLine="720"/>
        <w:jc w:val="left"/>
        <w:spacing w:line="480" w:lineRule="auto"/>
      </w:pPr>
      <w:r>
        <w:rPr>
          <w:rFonts w:ascii="Times New Roman" w:hAnsi="Times New Roman"/>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ind w:firstLine="720"/>
        <w:jc w:val="left"/>
        <w:spacing w:line="480" w:lineRule="auto"/>
      </w:pPr>
      <w:r>
        <w:rPr>
          <w:rFonts w:ascii="Times New Roman" w:hAnsi="Times New Roman"/>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jc w:val="left"/>
        <w:spacing w:line="480" w:lineRule="auto"/>
      </w:pPr>
      <w:r>
        <w:rPr>
          <w:rFonts w:ascii="Times New Roman" w:hAnsi="Times New Roman"/>
          <w:rFonts w:ascii="Times New Roman" w:hAnsi="Times New Roman"/>
          <w:b w:val="0"/>
          <w:i/>
          <w:sz w:val="24"/>
        </w:rPr>
        <w:t>3.6.3 Integration and limitations of mechanistic inference</w:t>
      </w:r>
    </w:p>
    <w:p>
      <w:pPr>
        <w:ind w:firstLine="720"/>
        <w:jc w:val="left"/>
        <w:spacing w:line="480" w:lineRule="auto"/>
      </w:pPr>
      <w:r>
        <w:rPr>
          <w:rFonts w:ascii="Times New Roman" w:hAnsi="Times New Roman"/>
          <w:rFonts w:ascii="Times New Roman" w:hAnsi="Times New Roman"/>
          <w:b w:val="0"/>
          <w:i w:val="0"/>
          <w:sz w:val="24"/>
        </w:rP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status—must be the primary driver of observed parental education effects,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pPr>
        <w:ind w:firstLine="720"/>
        <w:jc w:val="left"/>
        <w:spacing w:line="480" w:lineRule="auto"/>
      </w:pPr>
      <w:r>
        <w:rPr>
          <w:rFonts w:ascii="Times New Roman" w:hAnsi="Times New Roman"/>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jc w:val="left"/>
        <w:spacing w:line="480" w:lineRule="auto"/>
      </w:pPr>
      <w:r>
        <w:rPr>
          <w:rFonts w:ascii="Times New Roman" w:hAnsi="Times New Roman"/>
          <w:rFonts w:ascii="Times New Roman" w:hAnsi="Times New Roman"/>
          <w:b/>
          <w:i w:val="0"/>
          <w:sz w:val="24"/>
        </w:rPr>
        <w:t>4. Discussion</w:t>
      </w:r>
    </w:p>
    <w:p>
      <w:pPr>
        <w:jc w:val="left"/>
        <w:spacing w:line="480" w:lineRule="auto"/>
      </w:pPr>
      <w:r>
        <w:rPr>
          <w:rFonts w:ascii="Times New Roman" w:hAnsi="Times New Roman"/>
          <w:rFonts w:ascii="Times New Roman" w:hAnsi="Times New Roman"/>
          <w:b/>
          <w:i/>
          <w:sz w:val="24"/>
        </w:rPr>
        <w:t>4.1 Summary of findings</w:t>
      </w:r>
    </w:p>
    <w:p>
      <w:pPr>
        <w:ind w:firstLine="720"/>
        <w:jc w:val="left"/>
        <w:spacing w:line="480" w:lineRule="auto"/>
      </w:pPr>
      <w:r>
        <w:rPr>
          <w:rFonts w:ascii="Times New Roman" w:hAnsi="Times New Roman"/>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The central finding is one of strong directional consistency: 15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is most plausibly attributable to linguistic exposure heterogeneity rather than a true reversal of the education effect.</w:t>
      </w:r>
    </w:p>
    <w:p>
      <w:pPr>
        <w:ind w:firstLine="720"/>
        <w:jc w:val="left"/>
        <w:spacing w:line="480" w:lineRule="auto"/>
      </w:pPr>
      <w:r>
        <w:rPr>
          <w:rFonts w:ascii="Times New Roman" w:hAnsi="Times New Roman"/>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ind w:firstLine="720"/>
        <w:jc w:val="left"/>
        <w:spacing w:line="480" w:lineRule="auto"/>
      </w:pPr>
      <w:r>
        <w:rPr>
          <w:rFonts w:ascii="Times New Roman" w:hAnsi="Times New Roman"/>
          <w:rFonts w:ascii="Times New Roman" w:hAnsi="Times New Roman"/>
          <w:b w:val="0"/>
          <w:i w:val="0"/>
          <w:sz w:val="24"/>
        </w:rPr>
        <w:t xml:space="preserve">Two structural findings are particularly notable from a developmental neuroscience perspective. First, parental education effects were detectable in neonates assessed within days of birth (McKinnon et al., 2023; Ramphal et al., 2020; Konrad et al., 2024), establishing that the parental education → neural development pathway begins </w:t>
      </w:r>
      <w:r>
        <w:rPr>
          <w:rFonts w:ascii="Times New Roman" w:hAnsi="Times New Roman"/>
          <w:rFonts w:ascii="Times New Roman" w:hAnsi="Times New Roman"/>
          <w:b w:val="0"/>
          <w:i/>
          <w:sz w:val="24"/>
        </w:rPr>
        <w:t>in utero</w:t>
      </w:r>
      <w:r>
        <w:rPr>
          <w:rFonts w:ascii="Times New Roman" w:hAnsi="Times New Roman"/>
          <w:rFonts w:ascii="Times New Roman" w:hAnsi="Times New Roman"/>
          <w:b w:val="0"/>
          <w:i w:val="0"/>
          <w:sz w:val="24"/>
        </w:rPr>
        <w:t>. Second, across the DTI studies, the arcuate fasciculus was the most consistently implicated white matter tract (Turesky et al., 2022; Ozernov-Palchik et al., 2019), and education effects on this tract persisted after controlling for income, pointing to language experience quality as a plausible proximal mechanism.</w:t>
      </w:r>
    </w:p>
    <w:p>
      <w:pPr>
        <w:ind w:firstLine="720"/>
        <w:jc w:val="left"/>
        <w:spacing w:line="480" w:lineRule="auto"/>
      </w:pPr>
      <w:r>
        <w:rPr>
          <w:rFonts w:ascii="Times New Roman" w:hAnsi="Times New Roman"/>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jc w:val="left"/>
        <w:spacing w:line="480" w:lineRule="auto"/>
      </w:pPr>
      <w:r>
        <w:rPr>
          <w:rFonts w:ascii="Times New Roman" w:hAnsi="Times New Roman"/>
          <w:rFonts w:ascii="Times New Roman" w:hAnsi="Times New Roman"/>
          <w:b/>
          <w:i/>
          <w:sz w:val="24"/>
        </w:rPr>
        <w:t>4.2 Developmental timing and sensitive periods</w:t>
      </w:r>
    </w:p>
    <w:p>
      <w:pPr>
        <w:ind w:firstLine="720"/>
        <w:jc w:val="left"/>
        <w:spacing w:line="480" w:lineRule="auto"/>
      </w:pPr>
      <w:r>
        <w:rPr>
          <w:rFonts w:ascii="Times New Roman" w:hAnsi="Times New Roman"/>
          <w:rFonts w:ascii="Times New Roman" w:hAnsi="Times New Roman"/>
          <w:b w:val="0"/>
          <w:i w:val="0"/>
          <w:sz w:val="24"/>
        </w:rPr>
        <w:t xml:space="preserve">The age distribution of included studies and their findings speaks to the question of when in development parental education effects on neural outcomes first emerge and whether effects are concentrated in particular developmental windows. The neonatal findings (three of 16 studies) establish </w:t>
      </w:r>
      <w:r>
        <w:rPr>
          <w:rFonts w:ascii="Times New Roman" w:hAnsi="Times New Roman"/>
          <w:rFonts w:ascii="Times New Roman" w:hAnsi="Times New Roman"/>
          <w:b w:val="0"/>
          <w:i/>
          <w:sz w:val="24"/>
        </w:rPr>
        <w:t>in utero</w:t>
      </w:r>
      <w:r>
        <w:rPr>
          <w:rFonts w:ascii="Times New Roman" w:hAnsi="Times New Roman"/>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(six studies) demonstrate that these differences persist into middle childhood, with some evidence that they may be increasing (e.g., Ozernov-Palchik et al., 2019, finding large arcuate FA effects at 5–8 years).</w:t>
      </w:r>
    </w:p>
    <w:p>
      <w:pPr>
        <w:ind w:firstLine="720"/>
        <w:jc w:val="left"/>
        <w:spacing w:line="480" w:lineRule="auto"/>
      </w:pPr>
      <w:r>
        <w:rPr>
          <w:rFonts w:ascii="Times New Roman" w:hAnsi="Times New Roman"/>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exerting their effects on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jc w:val="left"/>
        <w:spacing w:line="480" w:lineRule="auto"/>
      </w:pPr>
      <w:r>
        <w:rPr>
          <w:rFonts w:ascii="Times New Roman" w:hAnsi="Times New Roman"/>
          <w:rFonts w:ascii="Times New Roman" w:hAnsi="Times New Roman"/>
          <w:b/>
          <w:i/>
          <w:sz w:val="24"/>
        </w:rPr>
        <w:t>4.3 Cross-modal convergence and neural systems</w:t>
      </w:r>
    </w:p>
    <w:p>
      <w:pPr>
        <w:ind w:firstLine="720"/>
        <w:jc w:val="left"/>
        <w:spacing w:line="480" w:lineRule="auto"/>
      </w:pPr>
      <w:r>
        <w:rPr>
          <w:rFonts w:ascii="Times New Roman" w:hAnsi="Times New Roman"/>
          <w:rFonts w:ascii="Times New Roman" w:hAnsi="Times New Roman"/>
          <w:b w:val="0"/>
          <w:i w:val="0"/>
          <w:sz w:val="24"/>
        </w:rPr>
        <w:t>The convergence of parental education effects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DMN connectivity) and left inferior frontal gyrus (language network). In DTI, the arcuate fasciculus—projecting between inferior frontal and superior temporal cortex—was the most consistently affected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 DMN).</w:t>
      </w:r>
    </w:p>
    <w:p>
      <w:pPr>
        <w:ind w:firstLine="720"/>
        <w:jc w:val="left"/>
        <w:spacing w:line="480" w:lineRule="auto"/>
      </w:pPr>
      <w:r>
        <w:rPr>
          <w:rFonts w:ascii="Times New Roman" w:hAnsi="Times New Roman"/>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jc w:val="left"/>
        <w:spacing w:line="480" w:lineRule="auto"/>
      </w:pPr>
      <w:r>
        <w:rPr>
          <w:rFonts w:ascii="Times New Roman" w:hAnsi="Times New Roman"/>
          <w:rFonts w:ascii="Times New Roman" w:hAnsi="Times New Roman"/>
          <w:b/>
          <w:i/>
          <w:sz w:val="24"/>
        </w:rPr>
        <w:t>4.4 Limitations and future directions</w:t>
      </w:r>
    </w:p>
    <w:p>
      <w:pPr>
        <w:ind w:firstLine="720"/>
        <w:jc w:val="left"/>
        <w:spacing w:line="480" w:lineRule="auto"/>
      </w:pPr>
      <w:r>
        <w:rPr>
          <w:rFonts w:ascii="Times New Roman" w:hAnsi="Times New Roman"/>
          <w:rFonts w:ascii="Times New Roman" w:hAnsi="Times New Roman"/>
          <w:b w:val="0"/>
          <w:i w:val="0"/>
          <w:sz w:val="24"/>
        </w:rPr>
        <w:t>Several limitations of the reviewed evidence base warrant explicit acknowledgment.</w:t>
      </w:r>
    </w:p>
    <w:p>
      <w:pPr>
        <w:ind w:firstLine="720"/>
        <w:jc w:val="left"/>
        <w:spacing w:line="480" w:lineRule="auto"/>
      </w:pPr>
      <w:r>
        <w:rPr>
          <w:rFonts w:ascii="Times New Roman" w:hAnsi="Times New Roman"/>
          <w:rFonts w:ascii="Times New Roman" w:hAnsi="Times New Roman"/>
          <w:b/>
          <w:i w:val="0"/>
          <w:sz w:val="24"/>
        </w:rPr>
        <w:t>Heterogeneity in education operationalization.</w:t>
      </w:r>
      <w:r>
        <w:rPr>
          <w:rFonts w:ascii="Times New Roman" w:hAnsi="Times New Roman"/>
          <w:rFonts w:ascii="Times New Roman" w:hAnsi="Times New Roman"/>
          <w:b w:val="0"/>
          <w:i w:val="0"/>
          <w:sz w:val="24"/>
        </w:rPr>
        <w:t xml:space="preserve"> Across 16 studies, parental education was operationalized in at least six distinct ways (maternal years, paternal years, mean parental years, highest parental level, binary degree attainment, composite-separable). This heterogeneity limits the precision of conclusions about dose–response relationships and makes it impossible to determine whether specific thresholds of educational attainment (e.g., university degree) confer qualitatively different benefits than incremental differences within lower educational levels.</w:t>
      </w:r>
    </w:p>
    <w:p>
      <w:pPr>
        <w:ind w:firstLine="720"/>
        <w:jc w:val="left"/>
        <w:spacing w:line="480" w:lineRule="auto"/>
      </w:pPr>
      <w:r>
        <w:rPr>
          <w:rFonts w:ascii="Times New Roman" w:hAnsi="Times New Roman"/>
          <w:rFonts w:ascii="Times New Roman" w:hAnsi="Times New Roman"/>
          <w:b/>
          <w:i w:val="0"/>
          <w:sz w:val="24"/>
        </w:rPr>
        <w:t>Absence of direct mechanism measurement.</w:t>
      </w:r>
      <w:r>
        <w:rPr>
          <w:rFonts w:ascii="Times New Roman" w:hAnsi="Times New Roman"/>
          <w:rFonts w:ascii="Times New Roman" w:hAnsi="Times New Roman"/>
          <w:b w:val="0"/>
          <w:i w:val="0"/>
          <w:sz w:val="24"/>
        </w:rPr>
        <w:t xml:space="preserve"> As noted in Section 3.6, no included study directly measured the hypothesized mediating variables alongside neural outcomes. The mechanistic pathways proposed—cognitive stimulation and stress reduction—remain inferential from indirect evidence. Specifically designed studies coupling home language environment measurement (e.g., LENA recording), caregiver stress biomarkers, and longitudinal neural assessment are needed to formally test the mechanistic chains.</w:t>
      </w:r>
    </w:p>
    <w:p>
      <w:pPr>
        <w:ind w:firstLine="720"/>
        <w:jc w:val="left"/>
        <w:spacing w:line="480" w:lineRule="auto"/>
      </w:pPr>
      <w:r>
        <w:rPr>
          <w:rFonts w:ascii="Times New Roman" w:hAnsi="Times New Roman"/>
          <w:rFonts w:ascii="Times New Roman" w:hAnsi="Times New Roman"/>
          <w:b/>
          <w:i w:val="0"/>
          <w:sz w:val="24"/>
        </w:rPr>
        <w:t>Geographic and cultural concentration.</w:t>
      </w:r>
      <w:r>
        <w:rPr>
          <w:rFonts w:ascii="Times New Roman" w:hAnsi="Times New Roman"/>
          <w:rFonts w:ascii="Times New Roman" w:hAnsi="Times New Roman"/>
          <w:b w:val="0"/>
          <w:i w:val="0"/>
          <w:sz w:val="24"/>
        </w:rPr>
        <w:t xml:space="preserve">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ind w:firstLine="720"/>
        <w:jc w:val="left"/>
        <w:spacing w:line="480" w:lineRule="auto"/>
      </w:pPr>
      <w:r>
        <w:rPr>
          <w:rFonts w:ascii="Times New Roman" w:hAnsi="Times New Roman"/>
          <w:rFonts w:ascii="Times New Roman" w:hAnsi="Times New Roman"/>
          <w:b/>
          <w:i w:val="0"/>
          <w:sz w:val="24"/>
        </w:rPr>
        <w:t>Small sample sizes.</w:t>
      </w:r>
      <w:r>
        <w:rPr>
          <w:rFonts w:ascii="Times New Roman" w:hAnsi="Times New Roman"/>
          <w:rFonts w:ascii="Times New Roman" w:hAnsi="Times New Roman"/>
          <w:b w:val="0"/>
          <w:i w:val="0"/>
          <w:sz w:val="24"/>
        </w:rPr>
        <w:t xml:space="preserve"> Several included studies had samples of fewer than 50 children (Stiver et al., 2015,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26; Wijeakumar et al., 2019,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35; Demir-Lira et al., 2021,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42), limiting statistical power and increasing the risk of inflated effect size estimates via winner's curse. Future studies should target sample sizes of ≥100 in any single neural modality and ideally use pre-registered, adequately powered designs.</w:t>
      </w:r>
    </w:p>
    <w:p>
      <w:pPr>
        <w:ind w:firstLine="720"/>
        <w:jc w:val="left"/>
        <w:spacing w:line="480" w:lineRule="auto"/>
      </w:pPr>
      <w:r>
        <w:rPr>
          <w:rFonts w:ascii="Times New Roman" w:hAnsi="Times New Roman"/>
          <w:rFonts w:ascii="Times New Roman" w:hAnsi="Times New Roman"/>
          <w:b/>
          <w:i w:val="0"/>
          <w:sz w:val="24"/>
        </w:rPr>
        <w:t>Unmeasured confounding.</w:t>
      </w:r>
      <w:r>
        <w:rPr>
          <w:rFonts w:ascii="Times New Roman" w:hAnsi="Times New Roman"/>
          <w:rFonts w:ascii="Times New Roman" w:hAnsi="Times New Roman"/>
          <w:b w:val="0"/>
          <w:i w:val="0"/>
          <w:sz w:val="24"/>
        </w:rPr>
        <w:t xml:space="preserve"> 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ind w:firstLine="720"/>
        <w:jc w:val="left"/>
        <w:spacing w:line="480" w:lineRule="auto"/>
      </w:pPr>
      <w:r>
        <w:rPr>
          <w:rFonts w:ascii="Times New Roman" w:hAnsi="Times New Roman"/>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and (4) intervention studies—ideally randomized—examining whether parenting programmes targeting language enrichment or stress reduction in low-education families produce detectable changes in neural markers.</w:t>
      </w:r>
    </w:p>
    <w:p>
      <w:pPr>
        <w:jc w:val="left"/>
        <w:spacing w:line="480" w:lineRule="auto"/>
      </w:pPr>
      <w:r>
        <w:rPr>
          <w:rFonts w:ascii="Times New Roman" w:hAnsi="Times New Roman"/>
          <w:rFonts w:ascii="Times New Roman" w:hAnsi="Times New Roman"/>
          <w:b/>
          <w:i/>
          <w:sz w:val="24"/>
        </w:rPr>
        <w:t>4.5 Conclusions</w:t>
      </w:r>
    </w:p>
    <w:p>
      <w:pPr>
        <w:ind w:firstLine="720"/>
        <w:jc w:val="left"/>
        <w:spacing w:line="480" w:lineRule="auto"/>
      </w:pPr>
      <w:r>
        <w:rPr>
          <w:rFonts w:ascii="Times New Roman" w:hAnsi="Times New Roman"/>
          <w:rFonts w:ascii="Times New Roman" w:hAnsi="Times New Roman"/>
          <w:b w:val="0"/>
          <w:i w:val="0"/>
          <w:sz w:val="24"/>
        </w:rPr>
        <w:t xml:space="preserve">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effects emerging </w:t>
      </w:r>
      <w:r>
        <w:rPr>
          <w:rFonts w:ascii="Times New Roman" w:hAnsi="Times New Roman"/>
          <w:rFonts w:ascii="Times New Roman" w:hAnsi="Times New Roman"/>
          <w:b w:val="0"/>
          <w:i/>
          <w:sz w:val="24"/>
        </w:rPr>
        <w:t>in utero</w:t>
      </w:r>
      <w:r>
        <w:rPr>
          <w:rFonts w:ascii="Times New Roman" w:hAnsi="Times New Roman"/>
          <w:rFonts w:ascii="Times New Roman" w:hAnsi="Times New Roman"/>
          <w:b w:val="0"/>
          <w:i w:val="0"/>
          <w:sz w:val="24"/>
        </w:rPr>
        <w:t xml:space="preserve">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ind w:firstLine="720"/>
        <w:jc w:val="left"/>
        <w:spacing w:line="480" w:lineRule="auto"/>
      </w:pPr>
      <w:r>
        <w:rPr>
          <w:rFonts w:ascii="Times New Roman" w:hAnsi="Times New Roman"/>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The present review underscores the importance of treating parental education not merely as a demographic control variable in neurodevelopmental research, but as a substantive predictor of the environmental inputs that shape the developing brain.</w:t>
      </w:r>
    </w:p>
    <w:p>
      <w:r>
        <w:br w:type="page"/>
      </w:r>
    </w:p>
    <w:p>
      <w:pPr>
        <w:jc w:val="left"/>
        <w:spacing w:line="480" w:lineRule="auto"/>
      </w:pPr>
      <w:r>
        <w:rPr>
          <w:rFonts w:ascii="Times New Roman" w:hAnsi="Times New Roman"/>
          <w:rFonts w:ascii="Times New Roman" w:hAnsi="Times New Roman"/>
          <w:b/>
          <w:i w:val="0"/>
          <w:sz w:val="24"/>
        </w:rPr>
        <w:t>References</w:t>
      </w:r>
    </w:p>
    <w:p>
      <w:pPr>
        <w:spacing w:after="120"/>
        <w:ind w:left="720" w:hanging="720"/>
        <w:spacing w:line="240" w:lineRule="auto"/>
      </w:pPr>
      <w:r>
        <w:rPr>
          <w:rFonts w:ascii="Times New Roman" w:hAnsi="Times New Roman"/>
          <w:rFonts w:ascii="Times New Roman" w:hAnsi="Times New Roman"/>
          <w:b w:val="0"/>
          <w:i w:val="0"/>
          <w:sz w:val="24"/>
        </w:rPr>
        <w:t xml:space="preserve">Bradley, R. H., &amp; Corwyn, R. F. (2002). Socioeconomic status and child development. </w:t>
      </w:r>
      <w:r>
        <w:rPr>
          <w:rFonts w:ascii="Times New Roman" w:hAnsi="Times New Roman"/>
          <w:rFonts w:ascii="Times New Roman" w:hAnsi="Times New Roman"/>
          <w:b w:val="0"/>
          <w:i/>
          <w:sz w:val="24"/>
        </w:rPr>
        <w:t>Annual Review of Psychology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53</w:t>
      </w:r>
      <w:r>
        <w:rPr>
          <w:rFonts w:ascii="Times New Roman" w:hAnsi="Times New Roman"/>
          <w:rFonts w:ascii="Times New Roman" w:hAnsi="Times New Roman"/>
          <w:b w:val="0"/>
          <w:i w:val="0"/>
          <w:sz w:val="24"/>
        </w:rPr>
        <w:t>, 371–399. https://doi.org/10.1146/annurev.psych.53.100901.135233</w:t>
      </w:r>
    </w:p>
    <w:p>
      <w:pPr>
        <w:spacing w:after="120"/>
        <w:ind w:left="720" w:hanging="720"/>
        <w:spacing w:line="240" w:lineRule="auto"/>
      </w:pPr>
      <w:r>
        <w:rPr>
          <w:rFonts w:ascii="Times New Roman" w:hAnsi="Times New Roman"/>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rFonts w:ascii="Times New Roman" w:hAnsi="Times New Roman"/>
          <w:b w:val="0"/>
          <w:i/>
          <w:sz w:val="24"/>
        </w:rPr>
        <w:t>Developmental Cognitive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43</w:t>
      </w:r>
      <w:r>
        <w:rPr>
          <w:rFonts w:ascii="Times New Roman" w:hAnsi="Times New Roman"/>
          <w:rFonts w:ascii="Times New Roman" w:hAnsi="Times New Roman"/>
          <w:b w:val="0"/>
          <w:i w:val="0"/>
          <w:sz w:val="24"/>
        </w:rPr>
        <w:t>, Article 100780. https://doi.org/10.1016/j.dcn.2020.100780</w:t>
      </w:r>
    </w:p>
    <w:p>
      <w:pPr>
        <w:spacing w:after="120"/>
        <w:ind w:left="720" w:hanging="720"/>
        <w:spacing w:line="240" w:lineRule="auto"/>
      </w:pPr>
      <w:r>
        <w:rPr>
          <w:rFonts w:ascii="Times New Roman" w:hAnsi="Times New Roman"/>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rFonts w:ascii="Times New Roman" w:hAnsi="Times New Roman"/>
          <w:b w:val="0"/>
          <w:i/>
          <w:sz w:val="24"/>
        </w:rPr>
        <w:t>BMJ</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368</w:t>
      </w:r>
      <w:r>
        <w:rPr>
          <w:rFonts w:ascii="Times New Roman" w:hAnsi="Times New Roman"/>
          <w:rFonts w:ascii="Times New Roman" w:hAnsi="Times New Roman"/>
          <w:b w:val="0"/>
          <w:i w:val="0"/>
          <w:sz w:val="24"/>
        </w:rPr>
        <w:t>, l6890. https://doi.org/10.1136/bmj.l6890</w:t>
      </w:r>
    </w:p>
    <w:p>
      <w:pPr>
        <w:spacing w:after="120"/>
        <w:ind w:left="720" w:hanging="720"/>
        <w:spacing w:line="240" w:lineRule="auto"/>
      </w:pPr>
      <w:r>
        <w:rPr>
          <w:rFonts w:ascii="Times New Roman" w:hAnsi="Times New Roman"/>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rFonts w:ascii="Times New Roman" w:hAnsi="Times New Roman"/>
          <w:b w:val="0"/>
          <w:i/>
          <w:sz w:val="24"/>
        </w:rPr>
        <w:t>Developmental 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21</w:t>
      </w:r>
      <w:r>
        <w:rPr>
          <w:rFonts w:ascii="Times New Roman" w:hAnsi="Times New Roman"/>
          <w:rFonts w:ascii="Times New Roman" w:hAnsi="Times New Roman"/>
          <w:b w:val="0"/>
          <w:i w:val="0"/>
          <w:sz w:val="24"/>
        </w:rPr>
        <w:t>(3), e12570. https://doi.org/10.1111/desc.12570</w:t>
      </w:r>
    </w:p>
    <w:p>
      <w:pPr>
        <w:spacing w:after="120"/>
        <w:ind w:left="720" w:hanging="720"/>
        <w:spacing w:line="240" w:lineRule="auto"/>
      </w:pPr>
      <w:r>
        <w:rPr>
          <w:rFonts w:ascii="Times New Roman" w:hAnsi="Times New Roman"/>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rFonts w:ascii="Times New Roman" w:hAnsi="Times New Roman"/>
          <w:b w:val="0"/>
          <w:i/>
          <w:sz w:val="24"/>
        </w:rPr>
        <w:t>WIREs Cognitive 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w:t>
      </w:r>
      <w:r>
        <w:rPr>
          <w:rFonts w:ascii="Times New Roman" w:hAnsi="Times New Roman"/>
          <w:rFonts w:ascii="Times New Roman" w:hAnsi="Times New Roman"/>
          <w:b w:val="0"/>
          <w:i w:val="0"/>
          <w:sz w:val="24"/>
        </w:rPr>
        <w:t>(4), 377–386.</w:t>
      </w:r>
    </w:p>
    <w:p>
      <w:pPr>
        <w:spacing w:after="120"/>
        <w:ind w:left="720" w:hanging="720"/>
        <w:spacing w:line="240" w:lineRule="auto"/>
      </w:pPr>
      <w:r>
        <w:rPr>
          <w:rFonts w:ascii="Times New Roman" w:hAnsi="Times New Roman"/>
          <w:rFonts w:ascii="Times New Roman" w:hAnsi="Times New Roman"/>
          <w:b w:val="0"/>
          <w:i w:val="0"/>
          <w:sz w:val="24"/>
        </w:rPr>
        <w:t xml:space="preserve">Gao, W., Alcauter, S., Elton, A., Hernandez-Castillo, C. R., Smith, J. K., Bhatt, P., &amp; Lin, W. (2011). Functional network development during the first year: Relative sequence and socioeconomic correlations. </w:t>
      </w:r>
      <w:r>
        <w:rPr>
          <w:rFonts w:ascii="Times New Roman" w:hAnsi="Times New Roman"/>
          <w:rFonts w:ascii="Times New Roman" w:hAnsi="Times New Roman"/>
          <w:b w:val="0"/>
          <w:i/>
          <w:sz w:val="24"/>
        </w:rPr>
        <w:t>Cerebral Cortex</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25</w:t>
      </w:r>
      <w:r>
        <w:rPr>
          <w:rFonts w:ascii="Times New Roman" w:hAnsi="Times New Roman"/>
          <w:rFonts w:ascii="Times New Roman" w:hAnsi="Times New Roman"/>
          <w:b w:val="0"/>
          <w:i w:val="0"/>
          <w:sz w:val="24"/>
        </w:rPr>
        <w:t>(9), 2919–2928. https://doi.org/10.1093/cercor/bhu088</w:t>
      </w:r>
    </w:p>
    <w:p>
      <w:pPr>
        <w:spacing w:after="120"/>
        <w:ind w:left="720" w:hanging="720"/>
        <w:spacing w:line="240" w:lineRule="auto"/>
      </w:pPr>
      <w:r>
        <w:rPr>
          <w:rFonts w:ascii="Times New Roman" w:hAnsi="Times New Roman"/>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rFonts w:ascii="Times New Roman" w:hAnsi="Times New Roman"/>
          <w:b w:val="0"/>
          <w:i/>
          <w:sz w:val="24"/>
        </w:rPr>
        <w:t>Proceedings of the National Academy of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110</w:t>
      </w:r>
      <w:r>
        <w:rPr>
          <w:rFonts w:ascii="Times New Roman" w:hAnsi="Times New Roman"/>
          <w:rFonts w:ascii="Times New Roman" w:hAnsi="Times New Roman"/>
          <w:b w:val="0"/>
          <w:i w:val="0"/>
          <w:sz w:val="24"/>
        </w:rPr>
        <w:t>(39), 15638–15643. https://doi.org/10.1073/pnas.1307893110</w:t>
      </w:r>
    </w:p>
    <w:p>
      <w:pPr>
        <w:spacing w:after="120"/>
        <w:ind w:left="720" w:hanging="720"/>
        <w:spacing w:line="240" w:lineRule="auto"/>
      </w:pPr>
      <w:r>
        <w:rPr>
          <w:rFonts w:ascii="Times New Roman" w:hAnsi="Times New Roman"/>
          <w:rFonts w:ascii="Times New Roman" w:hAnsi="Times New Roman"/>
          <w:b w:val="0"/>
          <w:i w:val="0"/>
          <w:sz w:val="24"/>
        </w:rPr>
        <w:t xml:space="preserve">Hackman, D. A., &amp; Farah, M. J. (2009). Socioeconomic status and the developing brain. </w:t>
      </w:r>
      <w:r>
        <w:rPr>
          <w:rFonts w:ascii="Times New Roman" w:hAnsi="Times New Roman"/>
          <w:rFonts w:ascii="Times New Roman" w:hAnsi="Times New Roman"/>
          <w:b w:val="0"/>
          <w:i/>
          <w:sz w:val="24"/>
        </w:rPr>
        <w:t>Trends in Cognitive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13</w:t>
      </w:r>
      <w:r>
        <w:rPr>
          <w:rFonts w:ascii="Times New Roman" w:hAnsi="Times New Roman"/>
          <w:rFonts w:ascii="Times New Roman" w:hAnsi="Times New Roman"/>
          <w:b w:val="0"/>
          <w:i w:val="0"/>
          <w:sz w:val="24"/>
        </w:rPr>
        <w:t>(2), 65–73. https://doi.org/10.1016/j.tics.2008.11.003</w:t>
      </w:r>
    </w:p>
    <w:p>
      <w:pPr>
        <w:spacing w:after="120"/>
        <w:ind w:left="720" w:hanging="720"/>
        <w:spacing w:line="240" w:lineRule="auto"/>
      </w:pPr>
      <w:r>
        <w:rPr>
          <w:rFonts w:ascii="Times New Roman" w:hAnsi="Times New Roman"/>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rFonts w:ascii="Times New Roman" w:hAnsi="Times New Roman"/>
          <w:b w:val="0"/>
          <w:i/>
          <w:sz w:val="24"/>
        </w:rPr>
        <w:t>Nature Reviews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11</w:t>
      </w:r>
      <w:r>
        <w:rPr>
          <w:rFonts w:ascii="Times New Roman" w:hAnsi="Times New Roman"/>
          <w:rFonts w:ascii="Times New Roman" w:hAnsi="Times New Roman"/>
          <w:b w:val="0"/>
          <w:i w:val="0"/>
          <w:sz w:val="24"/>
        </w:rPr>
        <w:t>(9), 651–659.</w:t>
      </w:r>
    </w:p>
    <w:p>
      <w:pPr>
        <w:spacing w:after="120"/>
        <w:ind w:left="720" w:hanging="720"/>
        <w:spacing w:line="240" w:lineRule="auto"/>
      </w:pPr>
      <w:r>
        <w:rPr>
          <w:rFonts w:ascii="Times New Roman" w:hAnsi="Times New Roman"/>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rFonts w:ascii="Times New Roman" w:hAnsi="Times New Roman"/>
          <w:b w:val="0"/>
          <w:i/>
          <w:sz w:val="24"/>
        </w:rPr>
        <w:t>Developmental Psychology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49</w:t>
      </w:r>
      <w:r>
        <w:rPr>
          <w:rFonts w:ascii="Times New Roman" w:hAnsi="Times New Roman"/>
          <w:rFonts w:ascii="Times New Roman" w:hAnsi="Times New Roman"/>
          <w:b w:val="0"/>
          <w:i w:val="0"/>
          <w:sz w:val="24"/>
        </w:rPr>
        <w:t>(1), 4–14.</w:t>
      </w:r>
    </w:p>
    <w:p>
      <w:pPr>
        <w:spacing w:after="120"/>
        <w:ind w:left="720" w:hanging="720"/>
        <w:spacing w:line="240" w:lineRule="auto"/>
      </w:pPr>
      <w:r>
        <w:rPr>
          <w:rFonts w:ascii="Times New Roman" w:hAnsi="Times New Roman"/>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rFonts w:ascii="Times New Roman" w:hAnsi="Times New Roman"/>
          <w:b w:val="0"/>
          <w:i/>
          <w:sz w:val="24"/>
        </w:rPr>
        <w:t>Journal of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28</w:t>
      </w:r>
      <w:r>
        <w:rPr>
          <w:rFonts w:ascii="Times New Roman" w:hAnsi="Times New Roman"/>
          <w:rFonts w:ascii="Times New Roman" w:hAnsi="Times New Roman"/>
          <w:b w:val="0"/>
          <w:i w:val="0"/>
          <w:sz w:val="24"/>
        </w:rPr>
        <w:t>(47), 12176–12182.</w:t>
      </w:r>
    </w:p>
    <w:p>
      <w:pPr>
        <w:spacing w:after="120"/>
        <w:ind w:left="720" w:hanging="720"/>
        <w:spacing w:line="240" w:lineRule="auto"/>
      </w:pPr>
      <w:r>
        <w:rPr>
          <w:rFonts w:ascii="Times New Roman" w:hAnsi="Times New Roman"/>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rFonts w:ascii="Times New Roman" w:hAnsi="Times New Roman"/>
          <w:b w:val="0"/>
          <w:i/>
          <w:sz w:val="24"/>
        </w:rPr>
        <w:t>Developmental Neuropsychology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35</w:t>
      </w:r>
      <w:r>
        <w:rPr>
          <w:rFonts w:ascii="Times New Roman" w:hAnsi="Times New Roman"/>
          <w:rFonts w:ascii="Times New Roman" w:hAnsi="Times New Roman"/>
          <w:b w:val="0"/>
          <w:i w:val="0"/>
          <w:sz w:val="24"/>
        </w:rPr>
        <w:t>(3), 296–317. https://doi.org/10.1080/87565641003696833</w:t>
      </w:r>
    </w:p>
    <w:p>
      <w:pPr>
        <w:spacing w:after="120"/>
        <w:ind w:left="720" w:hanging="720"/>
        <w:spacing w:line="240" w:lineRule="auto"/>
      </w:pPr>
      <w:r>
        <w:rPr>
          <w:rFonts w:ascii="Times New Roman" w:hAnsi="Times New Roman"/>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rFonts w:ascii="Times New Roman" w:hAnsi="Times New Roman"/>
          <w:b w:val="0"/>
          <w:i/>
          <w:sz w:val="24"/>
        </w:rPr>
        <w:t>Brain and Cognition</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137</w:t>
      </w:r>
      <w:r>
        <w:rPr>
          <w:rFonts w:ascii="Times New Roman" w:hAnsi="Times New Roman"/>
          <w:rFonts w:ascii="Times New Roman" w:hAnsi="Times New Roman"/>
          <w:b w:val="0"/>
          <w:i w:val="0"/>
          <w:sz w:val="24"/>
        </w:rPr>
        <w:t>, Article 103619. https://doi.org/10.1016/j.bandc.2019.103619</w:t>
      </w:r>
    </w:p>
    <w:p>
      <w:pPr>
        <w:spacing w:after="120"/>
        <w:ind w:left="720" w:hanging="720"/>
        <w:spacing w:line="240" w:lineRule="auto"/>
      </w:pPr>
      <w:r>
        <w:rPr>
          <w:rFonts w:ascii="Times New Roman" w:hAnsi="Times New Roman"/>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rFonts w:ascii="Times New Roman" w:hAnsi="Times New Roman"/>
          <w:b w:val="0"/>
          <w:i/>
          <w:sz w:val="24"/>
        </w:rPr>
        <w:t>Annals of the New York Academy of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1186</w:t>
      </w:r>
      <w:r>
        <w:rPr>
          <w:rFonts w:ascii="Times New Roman" w:hAnsi="Times New Roman"/>
          <w:rFonts w:ascii="Times New Roman" w:hAnsi="Times New Roman"/>
          <w:b w:val="0"/>
          <w:i w:val="0"/>
          <w:sz w:val="24"/>
        </w:rPr>
        <w:t>, 190–222.</w:t>
      </w:r>
    </w:p>
    <w:p>
      <w:pPr>
        <w:spacing w:after="120"/>
        <w:ind w:left="720" w:hanging="720"/>
        <w:spacing w:line="240" w:lineRule="auto"/>
      </w:pPr>
      <w:r>
        <w:rPr>
          <w:rFonts w:ascii="Times New Roman" w:hAnsi="Times New Roman"/>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rFonts w:ascii="Times New Roman" w:hAnsi="Times New Roman"/>
          <w:b w:val="0"/>
          <w:i/>
          <w:sz w:val="24"/>
        </w:rPr>
        <w:t>JAMA Pediatrics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177</w:t>
      </w:r>
      <w:r>
        <w:rPr>
          <w:rFonts w:ascii="Times New Roman" w:hAnsi="Times New Roman"/>
          <w:rFonts w:ascii="Times New Roman" w:hAnsi="Times New Roman"/>
          <w:b w:val="0"/>
          <w:i w:val="0"/>
          <w:sz w:val="24"/>
        </w:rPr>
        <w:t>(4), 380–389. https://doi.org/10.1001/jamapediatrics.2022.5847</w:t>
      </w:r>
    </w:p>
    <w:p>
      <w:pPr>
        <w:spacing w:after="120"/>
        <w:ind w:left="720" w:hanging="720"/>
        <w:spacing w:line="240" w:lineRule="auto"/>
      </w:pPr>
      <w:r>
        <w:rPr>
          <w:rFonts w:ascii="Times New Roman" w:hAnsi="Times New Roman"/>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rFonts w:ascii="Times New Roman" w:hAnsi="Times New Roman"/>
          <w:b w:val="0"/>
          <w:i/>
          <w:sz w:val="24"/>
        </w:rPr>
        <w:t>Nature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18</w:t>
      </w:r>
      <w:r>
        <w:rPr>
          <w:rFonts w:ascii="Times New Roman" w:hAnsi="Times New Roman"/>
          <w:rFonts w:ascii="Times New Roman" w:hAnsi="Times New Roman"/>
          <w:b w:val="0"/>
          <w:i w:val="0"/>
          <w:sz w:val="24"/>
        </w:rPr>
        <w:t>(5), 773–778.</w:t>
      </w:r>
    </w:p>
    <w:p>
      <w:pPr>
        <w:spacing w:after="120"/>
        <w:ind w:left="720" w:hanging="720"/>
        <w:spacing w:line="240" w:lineRule="auto"/>
      </w:pPr>
      <w:r>
        <w:rPr>
          <w:rFonts w:ascii="Times New Roman" w:hAnsi="Times New Roman"/>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rFonts w:ascii="Times New Roman" w:hAnsi="Times New Roman"/>
          <w:b w:val="0"/>
          <w:i/>
          <w:sz w:val="24"/>
        </w:rPr>
        <w:t>BMJ</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372</w:t>
      </w:r>
      <w:r>
        <w:rPr>
          <w:rFonts w:ascii="Times New Roman" w:hAnsi="Times New Roman"/>
          <w:rFonts w:ascii="Times New Roman" w:hAnsi="Times New Roman"/>
          <w:b w:val="0"/>
          <w:i w:val="0"/>
          <w:sz w:val="24"/>
        </w:rPr>
        <w:t>, n71. https://doi.org/10.1136/bmj.n71</w:t>
      </w:r>
    </w:p>
    <w:p>
      <w:pPr>
        <w:spacing w:after="120"/>
        <w:ind w:left="720" w:hanging="720"/>
        <w:spacing w:line="240" w:lineRule="auto"/>
      </w:pPr>
      <w:r>
        <w:rPr>
          <w:rFonts w:ascii="Times New Roman" w:hAnsi="Times New Roman"/>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rFonts w:ascii="Times New Roman" w:hAnsi="Times New Roman"/>
          <w:b w:val="0"/>
          <w:i/>
          <w:sz w:val="24"/>
        </w:rPr>
        <w:t>Biological Psychiatry: Cognitive Neuroscience and Neuroimaging</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w:t>
      </w:r>
      <w:r>
        <w:rPr>
          <w:rFonts w:ascii="Times New Roman" w:hAnsi="Times New Roman"/>
          <w:rFonts w:ascii="Times New Roman" w:hAnsi="Times New Roman"/>
          <w:b w:val="0"/>
          <w:i w:val="0"/>
          <w:sz w:val="24"/>
        </w:rPr>
        <w:t>(11), 1136–1145. https://doi.org/10.1016/j.bpsc.2019.05.009</w:t>
      </w:r>
    </w:p>
    <w:p>
      <w:pPr>
        <w:spacing w:after="120"/>
        <w:ind w:left="720" w:hanging="720"/>
        <w:spacing w:line="240" w:lineRule="auto"/>
      </w:pPr>
      <w:r>
        <w:rPr>
          <w:rFonts w:ascii="Times New Roman" w:hAnsi="Times New Roman"/>
          <w:rFonts w:ascii="Times New Roman" w:hAnsi="Times New Roman"/>
          <w:b w:val="0"/>
          <w:i w:val="0"/>
          <w:sz w:val="24"/>
        </w:rPr>
        <w:t xml:space="preserve">Stiles, J., &amp; Jernigan, T. L. (2010). The basics of brain development. </w:t>
      </w:r>
      <w:r>
        <w:rPr>
          <w:rFonts w:ascii="Times New Roman" w:hAnsi="Times New Roman"/>
          <w:rFonts w:ascii="Times New Roman" w:hAnsi="Times New Roman"/>
          <w:b w:val="0"/>
          <w:i/>
          <w:sz w:val="24"/>
        </w:rPr>
        <w:t>Neuropsychology Review</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20</w:t>
      </w:r>
      <w:r>
        <w:rPr>
          <w:rFonts w:ascii="Times New Roman" w:hAnsi="Times New Roman"/>
          <w:rFonts w:ascii="Times New Roman" w:hAnsi="Times New Roman"/>
          <w:b w:val="0"/>
          <w:i w:val="0"/>
          <w:sz w:val="24"/>
        </w:rPr>
        <w:t>(4), 327–348.</w:t>
      </w:r>
    </w:p>
    <w:p>
      <w:pPr>
        <w:spacing w:after="120"/>
        <w:ind w:left="720" w:hanging="720"/>
        <w:spacing w:line="240" w:lineRule="auto"/>
      </w:pPr>
      <w:r>
        <w:rPr>
          <w:rFonts w:ascii="Times New Roman" w:hAnsi="Times New Roman"/>
          <w:rFonts w:ascii="Times New Roman" w:hAnsi="Times New Roman"/>
          <w:b w:val="0"/>
          <w:i w:val="0"/>
          <w:sz w:val="24"/>
        </w:rPr>
        <w:t xml:space="preserve">Tomalski, P., &amp; Johnson, M. H. (2010). The effects of early adversity on the adult and developing brain. </w:t>
      </w:r>
      <w:r>
        <w:rPr>
          <w:rFonts w:ascii="Times New Roman" w:hAnsi="Times New Roman"/>
          <w:rFonts w:ascii="Times New Roman" w:hAnsi="Times New Roman"/>
          <w:b w:val="0"/>
          <w:i/>
          <w:sz w:val="24"/>
        </w:rPr>
        <w:t>Current Opinion in Psychiatry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23</w:t>
      </w:r>
      <w:r>
        <w:rPr>
          <w:rFonts w:ascii="Times New Roman" w:hAnsi="Times New Roman"/>
          <w:rFonts w:ascii="Times New Roman" w:hAnsi="Times New Roman"/>
          <w:b w:val="0"/>
          <w:i w:val="0"/>
          <w:sz w:val="24"/>
        </w:rPr>
        <w:t>(3), 233–238.</w:t>
      </w:r>
    </w:p>
    <w:p>
      <w:pPr>
        <w:spacing w:after="120"/>
        <w:ind w:left="720" w:hanging="720"/>
        <w:spacing w:line="240" w:lineRule="auto"/>
      </w:pPr>
      <w:r>
        <w:rPr>
          <w:rFonts w:ascii="Times New Roman" w:hAnsi="Times New Roman"/>
          <w:rFonts w:ascii="Times New Roman" w:hAnsi="Times New Roman"/>
          <w:b w:val="0"/>
          <w:i w:val="0"/>
          <w:sz w:val="24"/>
        </w:rPr>
        <w:t xml:space="preserve">Wells, G. A., Shea, B., O'Connell, D., Peterson, J., Welch, V., Losos, M., &amp; Tugwell, P. (2000). </w:t>
      </w:r>
      <w:r>
        <w:rPr>
          <w:rFonts w:ascii="Times New Roman" w:hAnsi="Times New Roman"/>
          <w:rFonts w:ascii="Times New Roman" w:hAnsi="Times New Roman"/>
          <w:b w:val="0"/>
          <w:i/>
          <w:sz w:val="24"/>
        </w:rPr>
        <w:t>The Newcastle–Ottawa Scale (NOS) for assessing the quality of nonrandomised studies in meta-analyses</w:t>
      </w:r>
      <w:r>
        <w:rPr>
          <w:rFonts w:ascii="Times New Roman" w:hAnsi="Times New Roman"/>
          <w:rFonts w:ascii="Times New Roman" w:hAnsi="Times New Roman"/>
          <w:b w:val="0"/>
          <w:i w:val="0"/>
          <w:sz w:val="24"/>
        </w:rPr>
        <w:t>. Ottawa Hospital Research Institute. http://www.ohri.ca/programs/clinical_epidemiology/oxford.asp</w:t>
      </w:r>
    </w:p>
    <w:p>
      <w:pPr>
        <w:spacing w:after="120"/>
        <w:ind w:left="720" w:hanging="720"/>
        <w:spacing w:line="240" w:lineRule="auto"/>
      </w:pPr>
      <w:r>
        <w:rPr>
          <w:rFonts w:ascii="Times New Roman" w:hAnsi="Times New Roman"/>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rFonts w:ascii="Times New Roman" w:hAnsi="Times New Roman"/>
          <w:b w:val="0"/>
          <w:i/>
          <w:sz w:val="24"/>
        </w:rPr>
        <w:t>Proceedings of the National Academy of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109</w:t>
      </w:r>
      <w:r>
        <w:rPr>
          <w:rFonts w:ascii="Times New Roman" w:hAnsi="Times New Roman"/>
          <w:rFonts w:ascii="Times New Roman" w:hAnsi="Times New Roman"/>
          <w:b w:val="0"/>
          <w:i w:val="0"/>
          <w:sz w:val="24"/>
        </w:rPr>
        <w:t>(44), E3045–E3053. https://doi.org/10.1073/pnas.1206792X</w:t>
      </w:r>
    </w:p>
    <w:p>
      <w:pPr>
        <w:spacing w:after="120"/>
        <w:ind w:left="720" w:hanging="720"/>
        <w:spacing w:line="240" w:lineRule="auto"/>
      </w:pPr>
      <w:r>
        <w:rPr>
          <w:rFonts w:ascii="Times New Roman" w:hAnsi="Times New Roman"/>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rFonts w:ascii="Times New Roman" w:hAnsi="Times New Roman"/>
          <w:b w:val="0"/>
          <w:i/>
          <w:sz w:val="24"/>
        </w:rPr>
        <w:t>Brain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14</w:t>
      </w:r>
      <w:r>
        <w:rPr>
          <w:rFonts w:ascii="Times New Roman" w:hAnsi="Times New Roman"/>
          <w:rFonts w:ascii="Times New Roman" w:hAnsi="Times New Roman"/>
          <w:b w:val="0"/>
          <w:i w:val="0"/>
          <w:sz w:val="24"/>
        </w:rPr>
        <w:t>(6), Article 560. https://doi.org/10.3390/brainsci14060560</w:t>
      </w:r>
    </w:p>
    <w:p>
      <w:pPr>
        <w:spacing w:after="120"/>
        <w:ind w:left="720" w:hanging="720"/>
        <w:spacing w:line="240" w:lineRule="auto"/>
      </w:pPr>
      <w:r>
        <w:rPr>
          <w:rFonts w:ascii="Times New Roman" w:hAnsi="Times New Roman"/>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rFonts w:ascii="Times New Roman" w:hAnsi="Times New Roman"/>
          <w:b w:val="0"/>
          <w:i/>
          <w:sz w:val="24"/>
        </w:rPr>
        <w:t>Developmental 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22</w:t>
      </w:r>
      <w:r>
        <w:rPr>
          <w:rFonts w:ascii="Times New Roman" w:hAnsi="Times New Roman"/>
          <w:rFonts w:ascii="Times New Roman" w:hAnsi="Times New Roman"/>
          <w:b w:val="0"/>
          <w:i w:val="0"/>
          <w:sz w:val="24"/>
        </w:rPr>
        <w:t>(5), Article e12822. https://doi.org/10.1111/desc.12822</w:t>
      </w:r>
    </w:p>
    <w:p>
      <w:pPr>
        <w:spacing w:after="120"/>
        <w:ind w:left="720" w:hanging="720"/>
        <w:spacing w:line="240" w:lineRule="auto"/>
      </w:pPr>
      <w:r>
        <w:rPr>
          <w:rFonts w:ascii="Times New Roman" w:hAnsi="Times New Roman"/>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rFonts w:ascii="Times New Roman" w:hAnsi="Times New Roman"/>
          <w:b w:val="0"/>
          <w:i/>
          <w:sz w:val="24"/>
        </w:rPr>
        <w:t>Academic Pediatrics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16</w:t>
      </w:r>
      <w:r>
        <w:rPr>
          <w:rFonts w:ascii="Times New Roman" w:hAnsi="Times New Roman"/>
          <w:rFonts w:ascii="Times New Roman" w:hAnsi="Times New Roman"/>
          <w:b w:val="0"/>
          <w:i w:val="0"/>
          <w:sz w:val="24"/>
        </w:rPr>
        <w:t>(3 Suppl), S30–S36. https://doi.org/10.1016/j.acap.2016.01.010</w:t>
      </w:r>
    </w:p>
    <w:p>
      <w:pPr>
        <w:spacing w:after="120"/>
        <w:ind w:left="720" w:hanging="720"/>
        <w:spacing w:line="240" w:lineRule="auto"/>
      </w:pPr>
      <w:r>
        <w:rPr>
          <w:rFonts w:ascii="Times New Roman" w:hAnsi="Times New Roman"/>
          <w:rFonts w:ascii="Times New Roman" w:hAnsi="Times New Roman"/>
          <w:b w:val="0"/>
          <w:i w:val="0"/>
          <w:sz w:val="24"/>
        </w:rPr>
        <w:t xml:space="preserve">Hart, B., &amp; Risley, T. R. (1995). </w:t>
      </w:r>
      <w:r>
        <w:rPr>
          <w:rFonts w:ascii="Times New Roman" w:hAnsi="Times New Roman"/>
          <w:rFonts w:ascii="Times New Roman" w:hAnsi="Times New Roman"/>
          <w:b w:val="0"/>
          <w:i/>
          <w:sz w:val="24"/>
        </w:rPr>
        <w:t>Meaningful differences in the everyday experience of young American children</w:t>
      </w:r>
      <w:r>
        <w:rPr>
          <w:rFonts w:ascii="Times New Roman" w:hAnsi="Times New Roman"/>
          <w:rFonts w:ascii="Times New Roman" w:hAnsi="Times New Roman"/>
          <w:b w:val="0"/>
          <w:i w:val="0"/>
          <w:sz w:val="24"/>
        </w:rPr>
        <w:t>. Paul H. Brookes.</w:t>
      </w:r>
    </w:p>
    <w:p>
      <w:pPr>
        <w:spacing w:after="120"/>
        <w:ind w:left="720" w:hanging="720"/>
        <w:spacing w:line="240" w:lineRule="auto"/>
      </w:pPr>
      <w:r>
        <w:rPr>
          <w:rFonts w:ascii="Times New Roman" w:hAnsi="Times New Roman"/>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rFonts w:ascii="Times New Roman" w:hAnsi="Times New Roman"/>
          <w:b w:val="0"/>
          <w:i/>
          <w:sz w:val="24"/>
        </w:rPr>
        <w:t>Child Development</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74</w:t>
      </w:r>
      <w:r>
        <w:rPr>
          <w:rFonts w:ascii="Times New Roman" w:hAnsi="Times New Roman"/>
          <w:rFonts w:ascii="Times New Roman" w:hAnsi="Times New Roman"/>
          <w:b w:val="0"/>
          <w:i w:val="0"/>
          <w:sz w:val="24"/>
        </w:rPr>
        <w:t>(5), 1368–1378. https://doi.org/10.1111/1467-8624.00612</w:t>
      </w:r>
    </w:p>
    <w:p>
      <w:pPr>
        <w:spacing w:after="120"/>
        <w:ind w:left="720" w:hanging="720"/>
        <w:spacing w:line="240" w:lineRule="auto"/>
      </w:pPr>
      <w:r>
        <w:rPr>
          <w:rFonts w:ascii="Times New Roman" w:hAnsi="Times New Roman"/>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rFonts w:ascii="Times New Roman" w:hAnsi="Times New Roman"/>
          <w:b w:val="0"/>
          <w:i/>
          <w:sz w:val="24"/>
        </w:rPr>
        <w:t>Nature Reviews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10</w:t>
      </w:r>
      <w:r>
        <w:rPr>
          <w:rFonts w:ascii="Times New Roman" w:hAnsi="Times New Roman"/>
          <w:rFonts w:ascii="Times New Roman" w:hAnsi="Times New Roman"/>
          <w:b w:val="0"/>
          <w:i w:val="0"/>
          <w:sz w:val="24"/>
        </w:rPr>
        <w:t>(6), 434–445. https://doi.org/10.1038/nrn2639</w:t>
      </w:r>
    </w:p>
    <w:p>
      <w:pPr>
        <w:spacing w:after="120"/>
        <w:ind w:left="720" w:hanging="720"/>
        <w:spacing w:line="240" w:lineRule="auto"/>
      </w:pPr>
      <w:r>
        <w:rPr>
          <w:rFonts w:ascii="Times New Roman" w:hAnsi="Times New Roman"/>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rFonts w:ascii="Times New Roman" w:hAnsi="Times New Roman"/>
          <w:b w:val="0"/>
          <w:i/>
          <w:sz w:val="24"/>
        </w:rPr>
        <w:t>Journal of Child Language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35</w:t>
      </w:r>
      <w:r>
        <w:rPr>
          <w:rFonts w:ascii="Times New Roman" w:hAnsi="Times New Roman"/>
          <w:rFonts w:ascii="Times New Roman" w:hAnsi="Times New Roman"/>
          <w:b w:val="0"/>
          <w:i w:val="0"/>
          <w:sz w:val="24"/>
        </w:rPr>
        <w:t>(1), 185–205. https://doi.org/10.1017/S0305000907008343</w:t>
      </w:r>
    </w:p>
    <w:p>
      <w:pPr>
        <w:spacing w:after="120"/>
        <w:ind w:left="720" w:hanging="720"/>
        <w:spacing w:line="240" w:lineRule="auto"/>
      </w:pPr>
      <w:r>
        <w:rPr>
          <w:rFonts w:ascii="Times New Roman" w:hAnsi="Times New Roman"/>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rFonts w:ascii="Times New Roman" w:hAnsi="Times New Roman"/>
          <w:b w:val="0"/>
          <w:i/>
          <w:sz w:val="24"/>
        </w:rPr>
        <w:t>The Lancet</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378</w:t>
      </w:r>
      <w:r>
        <w:rPr>
          <w:rFonts w:ascii="Times New Roman" w:hAnsi="Times New Roman"/>
          <w:rFonts w:ascii="Times New Roman" w:hAnsi="Times New Roman"/>
          <w:b w:val="0"/>
          <w:i w:val="0"/>
          <w:sz w:val="24"/>
        </w:rPr>
        <w:t>(9799), 1325–1338. https://doi.org/10.1016/S0140-6736(11)60555-2</w:t>
      </w:r>
    </w:p>
    <w:p>
      <w:pPr>
        <w:spacing w:after="120"/>
        <w:ind w:left="720" w:hanging="720"/>
        <w:spacing w:line="240" w:lineRule="auto"/>
      </w:pPr>
      <w:r>
        <w:rPr>
          <w:rFonts w:ascii="Times New Roman" w:hAnsi="Times New Roman"/>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rFonts w:ascii="Times New Roman" w:hAnsi="Times New Roman"/>
          <w:b w:val="0"/>
          <w:i/>
          <w:sz w:val="24"/>
        </w:rPr>
        <w:t>Human Brain Mapping</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42</w:t>
      </w:r>
      <w:r>
        <w:rPr>
          <w:rFonts w:ascii="Times New Roman" w:hAnsi="Times New Roman"/>
          <w:rFonts w:ascii="Times New Roman" w:hAnsi="Times New Roman"/>
          <w:b w:val="0"/>
          <w:i w:val="0"/>
          <w:sz w:val="24"/>
        </w:rPr>
        <w:t>(11), 3396–3410. https://doi.org/10.1002/hbm.25441</w:t>
      </w:r>
    </w:p>
    <w:p>
      <w:pPr>
        <w:spacing w:after="120"/>
        <w:ind w:left="720" w:hanging="720"/>
        <w:spacing w:line="240" w:lineRule="auto"/>
      </w:pPr>
      <w:r>
        <w:rPr>
          <w:rFonts w:ascii="Times New Roman" w:hAnsi="Times New Roman"/>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rFonts w:ascii="Times New Roman" w:hAnsi="Times New Roman"/>
          <w:b w:val="0"/>
          <w:i/>
          <w:sz w:val="24"/>
        </w:rPr>
        <w:t>Annals of Clinical and Translational Neurology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11</w:t>
      </w:r>
      <w:r>
        <w:rPr>
          <w:rFonts w:ascii="Times New Roman" w:hAnsi="Times New Roman"/>
          <w:rFonts w:ascii="Times New Roman" w:hAnsi="Times New Roman"/>
          <w:b w:val="0"/>
          <w:i w:val="0"/>
          <w:sz w:val="24"/>
        </w:rPr>
        <w:t>(9), 2499–2513. https://doi.org/10.1002/acn3.52168</w:t>
      </w:r>
    </w:p>
    <w:p>
      <w:pPr>
        <w:spacing w:after="120"/>
        <w:ind w:left="720" w:hanging="720"/>
        <w:spacing w:line="240" w:lineRule="auto"/>
      </w:pPr>
      <w:r>
        <w:rPr>
          <w:rFonts w:ascii="Times New Roman" w:hAnsi="Times New Roman"/>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rFonts w:ascii="Times New Roman" w:hAnsi="Times New Roman"/>
          <w:b w:val="0"/>
          <w:i/>
          <w:sz w:val="24"/>
        </w:rPr>
        <w:t>Human Brain Mapping</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40</w:t>
      </w:r>
      <w:r>
        <w:rPr>
          <w:rFonts w:ascii="Times New Roman" w:hAnsi="Times New Roman"/>
          <w:rFonts w:ascii="Times New Roman" w:hAnsi="Times New Roman"/>
          <w:b w:val="0"/>
          <w:i w:val="0"/>
          <w:sz w:val="24"/>
        </w:rPr>
        <w:t>(3), 741–754. https://doi.org/10.1002/hbm.24407</w:t>
      </w:r>
    </w:p>
    <w:p>
      <w:pPr>
        <w:spacing w:after="120"/>
        <w:ind w:left="720" w:hanging="720"/>
        <w:spacing w:line="240" w:lineRule="auto"/>
      </w:pPr>
      <w:r>
        <w:rPr>
          <w:rFonts w:ascii="Times New Roman" w:hAnsi="Times New Roman"/>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rFonts w:ascii="Times New Roman" w:hAnsi="Times New Roman"/>
          <w:b w:val="0"/>
          <w:i/>
          <w:sz w:val="24"/>
        </w:rPr>
        <w:t>Developmental Cognitive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45</w:t>
      </w:r>
      <w:r>
        <w:rPr>
          <w:rFonts w:ascii="Times New Roman" w:hAnsi="Times New Roman"/>
          <w:rFonts w:ascii="Times New Roman" w:hAnsi="Times New Roman"/>
          <w:b w:val="0"/>
          <w:i w:val="0"/>
          <w:sz w:val="24"/>
        </w:rPr>
        <w:t>, Article 100811. https://doi.org/10.1016/j.dcn.2020.100811</w:t>
      </w:r>
    </w:p>
    <w:p>
      <w:pPr>
        <w:spacing w:after="120"/>
        <w:ind w:left="720" w:hanging="720"/>
        <w:spacing w:line="240" w:lineRule="auto"/>
      </w:pPr>
      <w:r>
        <w:rPr>
          <w:rFonts w:ascii="Times New Roman" w:hAnsi="Times New Roman"/>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rFonts w:ascii="Times New Roman" w:hAnsi="Times New Roman"/>
          <w:b w:val="0"/>
          <w:i/>
          <w:sz w:val="24"/>
        </w:rPr>
        <w:t>Journal of Child Neurology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30</w:t>
      </w:r>
      <w:r>
        <w:rPr>
          <w:rFonts w:ascii="Times New Roman" w:hAnsi="Times New Roman"/>
          <w:rFonts w:ascii="Times New Roman" w:hAnsi="Times New Roman"/>
          <w:b w:val="0"/>
          <w:i w:val="0"/>
          <w:sz w:val="24"/>
        </w:rPr>
        <w:t>(12), 1633–1639. https://doi.org/10.1177/0883073815576790</w:t>
      </w:r>
    </w:p>
    <w:p>
      <w:pPr>
        <w:spacing w:after="120"/>
        <w:ind w:left="720" w:hanging="720"/>
        <w:spacing w:line="240" w:lineRule="auto"/>
      </w:pPr>
      <w:r>
        <w:rPr>
          <w:rFonts w:ascii="Times New Roman" w:hAnsi="Times New Roman"/>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rFonts w:ascii="Times New Roman" w:hAnsi="Times New Roman"/>
          <w:b w:val="0"/>
          <w:i/>
          <w:sz w:val="24"/>
        </w:rPr>
        <w:t>Brain Structure and Function</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227</w:t>
      </w:r>
      <w:r>
        <w:rPr>
          <w:rFonts w:ascii="Times New Roman" w:hAnsi="Times New Roman"/>
          <w:rFonts w:ascii="Times New Roman" w:hAnsi="Times New Roman"/>
          <w:b w:val="0"/>
          <w:i w:val="0"/>
          <w:sz w:val="24"/>
        </w:rPr>
        <w:t>(8), 2633–2645. https://doi.org/10.1007/s00429-022-02560-4</w:t>
      </w:r>
    </w:p>
    <w:p>
      <w:pPr>
        <w:spacing w:after="120"/>
        <w:ind w:left="720" w:hanging="720"/>
        <w:spacing w:line="240" w:lineRule="auto"/>
      </w:pPr>
      <w:r>
        <w:rPr>
          <w:rFonts w:ascii="Times New Roman" w:hAnsi="Times New Roman"/>
          <w:rFonts w:ascii="Times New Roman" w:hAnsi="Times New Roman"/>
          <w:b w:val="0"/>
          <w:i w:val="0"/>
          <w:sz w:val="24"/>
        </w:rPr>
        <w:t xml:space="preserve">Ursache, A., &amp; Noble, K. G. (2016). Socioeconomic status, white matter, and executive function in children. </w:t>
      </w:r>
      <w:r>
        <w:rPr>
          <w:rFonts w:ascii="Times New Roman" w:hAnsi="Times New Roman"/>
          <w:rFonts w:ascii="Times New Roman" w:hAnsi="Times New Roman"/>
          <w:b w:val="0"/>
          <w:i/>
          <w:sz w:val="24"/>
        </w:rPr>
        <w:t>Brain and Behavior</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6</w:t>
      </w:r>
      <w:r>
        <w:rPr>
          <w:rFonts w:ascii="Times New Roman" w:hAnsi="Times New Roman"/>
          <w:rFonts w:ascii="Times New Roman" w:hAnsi="Times New Roman"/>
          <w:b w:val="0"/>
          <w:i w:val="0"/>
          <w:sz w:val="24"/>
        </w:rPr>
        <w:t>(10), Article e00531. https://doi.org/10.1002/brb3.531</w:t>
      </w:r>
    </w:p>
    <w:p>
      <w:pPr>
        <w:spacing w:after="120"/>
        <w:ind w:left="720" w:hanging="720"/>
        <w:spacing w:line="240" w:lineRule="auto"/>
      </w:pPr>
      <w:r>
        <w:rPr>
          <w:rFonts w:ascii="Times New Roman" w:hAnsi="Times New Roman"/>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rFonts w:ascii="Times New Roman" w:hAnsi="Times New Roman"/>
          <w:b w:val="0"/>
          <w:i/>
          <w:sz w:val="24"/>
        </w:rPr>
        <w:t>The Lancet</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371</w:t>
      </w:r>
      <w:r>
        <w:rPr>
          <w:rFonts w:ascii="Times New Roman" w:hAnsi="Times New Roman"/>
          <w:rFonts w:ascii="Times New Roman" w:hAnsi="Times New Roman"/>
          <w:b w:val="0"/>
          <w:i w:val="0"/>
          <w:sz w:val="24"/>
        </w:rPr>
        <w:t>(9609), 340–357. https://doi.org/10.1016/S0140-6736(07)61692-4</w:t>
      </w:r>
    </w:p>
    <w:p>
      <w:pPr>
        <w:spacing w:after="120"/>
        <w:ind w:left="720" w:hanging="720"/>
        <w:spacing w:line="240" w:lineRule="auto"/>
      </w:pPr>
      <w:r>
        <w:rPr>
          <w:rFonts w:ascii="Times New Roman" w:hAnsi="Times New Roman"/>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rFonts w:ascii="Times New Roman" w:hAnsi="Times New Roman"/>
          <w:b w:val="0"/>
          <w:i/>
          <w:sz w:val="24"/>
        </w:rPr>
        <w:t>Human Brain Mapping</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44</w:t>
      </w:r>
      <w:r>
        <w:rPr>
          <w:rFonts w:ascii="Times New Roman" w:hAnsi="Times New Roman"/>
          <w:rFonts w:ascii="Times New Roman" w:hAnsi="Times New Roman"/>
          <w:b w:val="0"/>
          <w:i w:val="0"/>
          <w:sz w:val="24"/>
        </w:rPr>
        <w:t>(8), 3060–3073. https://doi.org/10.1002/hbm.26271</w:t>
      </w:r>
    </w:p>
    <w:p>
      <w:r>
        <w:br w:type="page"/>
      </w:r>
    </w:p>
    <w:p>
      <w:pPr>
        <w:jc w:val="left"/>
        <w:spacing w:line="480" w:lineRule="auto"/>
      </w:pPr>
      <w:r>
        <w:rPr>
          <w:rFonts w:ascii="Times New Roman" w:hAnsi="Times New Roman"/>
          <w:rFonts w:ascii="Times New Roman" w:hAnsi="Times New Roman"/>
          <w:b/>
          <w:i w:val="0"/>
          <w:sz w:val="24"/>
        </w:rPr>
        <w:t>Figure Captions</w:t>
      </w:r>
    </w:p>
    <w:p>
      <w:pPr>
        <w:spacing w:line="480" w:lineRule="auto"/>
      </w:pPr>
      <w:r>
        <w:rPr>
          <w:rFonts w:ascii="Times New Roman" w:hAnsi="Times New Roman"/>
          <w:rFonts w:ascii="Times New Roman" w:hAnsi="Times New Roman"/>
          <w:b/>
          <w:i w:val="0"/>
          <w:sz w:val="24"/>
        </w:rPr>
        <w:t xml:space="preserve">Figure 1. </w:t>
      </w:r>
      <w:r>
        <w:rPr>
          <w:rFonts w:ascii="Times New Roman" w:hAnsi="Times New Roman"/>
          <w:rFonts w:ascii="Times New Roman" w:hAnsi="Times New Roman"/>
          <w:b w:val="0"/>
          <w:i w:val="0"/>
          <w:sz w:val="24"/>
        </w:rPr>
        <w:t>PRISMA 2020 flow diagram depicting the study selection process. Records identified from four databases (PubMed/MEDLINE, PsycINFO, Web of Science, Scopus; total N = 3,097) were deduplicated (n = 1,827) and screened at automated pre-screening (Stage 1; n = 513 retained), title/abstract (Stage 2; n = 133 retained), and full-text stages. Of 109 full texts assessed, 93 were excluded (primary reason: parental education not independently estimable, E2, k = 87). Final included studies: n = 16.</w:t>
      </w:r>
    </w:p>
    <w:p>
      <w:pPr>
        <w:spacing w:line="480" w:lineRule="auto"/>
      </w:pPr>
      <w:r>
        <w:rPr>
          <w:rFonts w:ascii="Times New Roman" w:hAnsi="Times New Roman"/>
          <w:rFonts w:ascii="Times New Roman" w:hAnsi="Times New Roman"/>
          <w:b/>
          <w:i w:val="0"/>
          <w:sz w:val="24"/>
        </w:rPr>
        <w:t xml:space="preserve">Figure 2. </w:t>
      </w:r>
      <w:r>
        <w:rPr>
          <w:rFonts w:ascii="Times New Roman" w:hAnsi="Times New Roman"/>
          <w:rFonts w:ascii="Times New Roman" w:hAnsi="Times New Roman"/>
          <w:b w:val="0"/>
          <w:i w:val="0"/>
          <w:sz w:val="24"/>
        </w:rPr>
        <w:t>Included studies by neural modality and age group at neural measurement (N = 16). Each bubble represents one study; bubble area is proportional to sample size (N). Blue = positive association; red = negative association (k = 1). † Brito &amp; Noble (2020): p = .025, did not survive FDR correction. Ramphal et al. (2020): neural measurement at neonatal period; longitudinal follow-up to 2 yr. Lange et al. (2010): IQ as neural-cognitive proxy; brain volume as covariate.</w:t>
      </w:r>
    </w:p>
    <w:p>
      <w:pPr>
        <w:spacing w:line="480" w:lineRule="auto"/>
      </w:pPr>
      <w:r>
        <w:rPr>
          <w:rFonts w:ascii="Times New Roman" w:hAnsi="Times New Roman"/>
          <w:rFonts w:ascii="Times New Roman" w:hAnsi="Times New Roman"/>
          <w:b/>
          <w:i w:val="0"/>
          <w:sz w:val="24"/>
        </w:rPr>
        <w:t xml:space="preserve">Figure 3. </w:t>
      </w:r>
      <w:r>
        <w:rPr>
          <w:rFonts w:ascii="Times New Roman" w:hAnsi="Times New Roman"/>
          <w:rFonts w:ascii="Times New Roman" w:hAnsi="Times New Roman"/>
          <w:b w:val="0"/>
          <w:i w:val="0"/>
          <w:sz w:val="24"/>
        </w:rPr>
        <w:t>Effect direction by neural modality for all included studies (N = 16). Bars show the count of studies reporting a positive or negative association between parental education and neural outcome for each modality. All 15 positive associations survived covariate adjustment for at least one alternative SES indicator.</w:t>
      </w:r>
    </w:p>
    <w:p>
      <w:pPr>
        <w:spacing w:line="480" w:lineRule="auto"/>
      </w:pPr>
      <w:r>
        <w:rPr>
          <w:rFonts w:ascii="Times New Roman" w:hAnsi="Times New Roman"/>
          <w:rFonts w:ascii="Times New Roman" w:hAnsi="Times New Roman"/>
          <w:b/>
          <w:i w:val="0"/>
          <w:sz w:val="24"/>
        </w:rPr>
        <w:t xml:space="preserve">Figure 4. </w:t>
      </w:r>
      <w:r>
        <w:rPr>
          <w:rFonts w:ascii="Times New Roman" w:hAnsi="Times New Roman"/>
          <w:rFonts w:ascii="Times New Roman" w:hAnsi="Times New Roman"/>
          <w:b w:val="0"/>
          <w:i w:val="0"/>
          <w:sz w:val="24"/>
        </w:rPr>
        <w:t>Age range of neural measurement across included studies. Each horizontal bar spans the age range of neural measurement for one study. Bar color indicates neural modality (see legend). Dashed border with hatching = negative association (Wienke et al., 2024). Numbers at bar right = sample size (N). Background shading indicates developmental age groups. Ramphal (2020): neonatal fMRI scan; bar extended to 24 months (longitudinal follow-up). Stiver (2015): preterm sample; bar starts at term-equivalent age.</w:t>
      </w:r>
    </w:p>
    <w:p>
      <w:r>
        <w:br w:type="page"/>
      </w:r>
    </w:p>
    <w:p>
      <w:pPr>
        <w:spacing w:before="0" w:after="120"/>
        <w:jc w:val="center"/>
      </w:pPr>
      <w:r>
        <w:drawing>
          <wp:inline xmlns:a="http://schemas.openxmlformats.org/drawingml/2006/main" xmlns:pic="http://schemas.openxmlformats.org/drawingml/2006/picture">
            <wp:extent cx="5486400" cy="6785811"/>
            <wp:docPr id="1" name="Picture 1"/>
            <wp:cNvGraphicFramePr>
              <a:graphicFrameLocks noChangeAspect="1"/>
            </wp:cNvGraphicFramePr>
            <a:graphic>
              <a:graphicData uri="http://schemas.openxmlformats.org/drawingml/2006/picture">
                <pic:pic>
                  <pic:nvPicPr>
                    <pic:cNvPr id="0" name="figure1_prisma.png"/>
                    <pic:cNvPicPr/>
                  </pic:nvPicPr>
                  <pic:blipFill>
                    <a:blip r:embed="rId10"/>
                    <a:stretch>
                      <a:fillRect/>
                    </a:stretch>
                  </pic:blipFill>
                  <pic:spPr>
                    <a:xfrm>
                      <a:off x="0" y="0"/>
                      <a:ext cx="5486400" cy="6785811"/>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1. </w:t>
      </w:r>
      <w:r>
        <w:rPr>
          <w:rFonts w:ascii="Times New Roman" w:hAnsi="Times New Roman"/>
          <w:rFonts w:ascii="Times New Roman" w:hAnsi="Times New Roman"/>
          <w:b w:val="0"/>
          <w:i w:val="0"/>
          <w:sz w:val="24"/>
        </w:rPr>
        <w:t>PRISMA 2020 flow diagram depicting the study selection process. Records identified from four databases (PubMed/MEDLINE, PsycINFO, Web of Science, Scopus; total N = 3,097) were deduplicated (n = 1,827) and screened at automated pre-screening (Stage 1; n = 513 retained), title/abstract (Stage 2; n = 133 retained), and full-text stages. Of 109 full texts assessed, 93 were excluded (primary reason: parental education not independently estimable, E2, k = 87). Final included studies: n = 16.</w:t>
      </w:r>
    </w:p>
    <w:p>
      <w:r>
        <w:br w:type="page"/>
      </w:r>
    </w:p>
    <w:p>
      <w:pPr>
        <w:spacing w:before="0" w:after="120"/>
        <w:jc w:val="center"/>
      </w:pPr>
      <w:r>
        <w:drawing>
          <wp:inline xmlns:a="http://schemas.openxmlformats.org/drawingml/2006/main" xmlns:pic="http://schemas.openxmlformats.org/drawingml/2006/picture">
            <wp:extent cx="5486400" cy="4565989"/>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1"/>
                    <a:stretch>
                      <a:fillRect/>
                    </a:stretch>
                  </pic:blipFill>
                  <pic:spPr>
                    <a:xfrm>
                      <a:off x="0" y="0"/>
                      <a:ext cx="5486400" cy="4565989"/>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2. </w:t>
      </w:r>
      <w:r>
        <w:rPr>
          <w:rFonts w:ascii="Times New Roman" w:hAnsi="Times New Roman"/>
          <w:rFonts w:ascii="Times New Roman" w:hAnsi="Times New Roman"/>
          <w:b w:val="0"/>
          <w:i w:val="0"/>
          <w:sz w:val="24"/>
        </w:rPr>
        <w:t>Included studies by neural modality and age group at neural measurement (N = 16). Each bubble represents one study; bubble area is proportional to sample size (N). Blue = positive association; red = negative association (k = 1). † Brito &amp; Noble (2020): p = .025, did not survive FDR correction. Ramphal et al. (2020): neural measurement at neonatal period; longitudinal follow-up to 2 yr. Lange et al. (2010): IQ as neural-cognitive proxy; brain volume as covariate.</w:t>
      </w:r>
    </w:p>
    <w:p>
      <w:r>
        <w:br w:type="page"/>
      </w:r>
    </w:p>
    <w:p>
      <w:pPr>
        <w:spacing w:before="0" w:after="120"/>
        <w:jc w:val="center"/>
      </w:pPr>
      <w:r>
        <w:drawing>
          <wp:inline xmlns:a="http://schemas.openxmlformats.org/drawingml/2006/main" xmlns:pic="http://schemas.openxmlformats.org/drawingml/2006/picture">
            <wp:extent cx="5486400" cy="3368233"/>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2"/>
                    <a:stretch>
                      <a:fillRect/>
                    </a:stretch>
                  </pic:blipFill>
                  <pic:spPr>
                    <a:xfrm>
                      <a:off x="0" y="0"/>
                      <a:ext cx="5486400" cy="3368233"/>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3. </w:t>
      </w:r>
      <w:r>
        <w:rPr>
          <w:rFonts w:ascii="Times New Roman" w:hAnsi="Times New Roman"/>
          <w:rFonts w:ascii="Times New Roman" w:hAnsi="Times New Roman"/>
          <w:b w:val="0"/>
          <w:i w:val="0"/>
          <w:sz w:val="24"/>
        </w:rPr>
        <w:t>Effect direction by neural modality for all included studies (N = 16). Bars show the count of studies reporting a positive or negative association between parental education and neural outcome for each modality. All 15 positive associations survived covariate adjustment for at least one alternative SES indicator.</w:t>
      </w:r>
    </w:p>
    <w:p>
      <w:r>
        <w:br w:type="page"/>
      </w:r>
    </w:p>
    <w:p>
      <w:pPr>
        <w:spacing w:before="0" w:after="120"/>
        <w:jc w:val="center"/>
      </w:pPr>
      <w:r>
        <w:drawing>
          <wp:inline xmlns:a="http://schemas.openxmlformats.org/drawingml/2006/main" xmlns:pic="http://schemas.openxmlformats.org/drawingml/2006/picture">
            <wp:extent cx="5486400" cy="3790865"/>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3"/>
                    <a:stretch>
                      <a:fillRect/>
                    </a:stretch>
                  </pic:blipFill>
                  <pic:spPr>
                    <a:xfrm>
                      <a:off x="0" y="0"/>
                      <a:ext cx="5486400" cy="3790865"/>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4. </w:t>
      </w:r>
      <w:r>
        <w:rPr>
          <w:rFonts w:ascii="Times New Roman" w:hAnsi="Times New Roman"/>
          <w:rFonts w:ascii="Times New Roman" w:hAnsi="Times New Roman"/>
          <w:b w:val="0"/>
          <w:i w:val="0"/>
          <w:sz w:val="24"/>
        </w:rPr>
        <w:t>Age range of neural measurement across included studies. Each horizontal bar spans the age range of neural measurement for one study. Bar color indicates neural modality (see legend). Dashed border with hatching = negative association (Wienke et al., 2024). Numbers at bar right = sample size (N). Background shading indicates developmental age groups. Ramphal (2020): neonatal fMRI scan; bar extended to 24 months (longitudinal follow-up). Stiver (2015): preterm sample; bar starts at term-equivalent age.</w:t>
      </w:r>
    </w:p>
    <w:p>
      <w:r>
        <w:br w:type="page"/>
      </w:r>
    </w:p>
    <w:p>
      <w:pPr>
        <w:spacing w:before="0" w:after="240"/>
        <w:jc w:val="center"/>
      </w:pPr>
      <w:r>
        <w:rPr>
          <w:rFonts w:ascii="Times New Roman" w:hAnsi="Times New Roman"/>
          <w:rFonts w:ascii="Times New Roman" w:hAnsi="Times New Roman"/>
          <w:b/>
          <w:i w:val="0"/>
          <w:sz w:val="28"/>
        </w:rPr>
        <w:t>Supplementary Material</w:t>
      </w:r>
    </w:p>
    <w:p>
      <w:pPr>
        <w:spacing w:before="0" w:after="120"/>
      </w:pPr>
      <w:r>
        <w:rPr>
          <w:rFonts w:ascii="Times New Roman" w:hAnsi="Times New Roman"/>
          <w:rFonts w:ascii="Times New Roman" w:hAnsi="Times New Roman"/>
          <w:b/>
          <w:i w:val="0"/>
          <w:sz w:val="24"/>
        </w:rPr>
        <w:t>Supplementary Table S1. Newcastle–Ottawa Scale Domain-Level Scores</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128"/>
        <w:gridCol w:w="1128"/>
        <w:gridCol w:w="1128"/>
        <w:gridCol w:w="1128"/>
        <w:gridCol w:w="1128"/>
        <w:gridCol w:w="1128"/>
        <w:gridCol w:w="1128"/>
        <w:gridCol w:w="1128"/>
      </w:tblGrid>
      <w:tr>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Study</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Country</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Modality</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Selection (0–4)</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Comparability (0–2)</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Outcome (0–3)</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Total (0–9)</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Quality</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Brito &amp; Noble (2020)</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6</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Moderate</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Conejero et al. (2018)</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Spain</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ERP</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Demir-Lira et al. (2021)</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Konrad et al. (2024)</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Canada/Germany</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Lange et al. (2010)</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UK</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Maguire &amp; Schneider (2019)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McKinnon et al. (2023)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UK</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4</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Ozernov-Palchik et al. (2019)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Ramphal et al. (2020)</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8</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Shephard et al. (2019)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Brazil</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Stiver et al. (2015)</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Canada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8</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Turesky et al. (2022)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Ursache &amp; Noble (2016)</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8</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Wienke et al. (2024)</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Germany</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ERP</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6</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Moderate</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Wijeakumar et al. (2019)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India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fNIRS</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6</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Moderate</w:t>
            </w:r>
          </w:p>
        </w:tc>
      </w:tr>
      <w:tr>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Zhu et al. (2023)</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USA/UK/Norway</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High</w:t>
            </w:r>
          </w:p>
        </w:tc>
      </w:tr>
    </w:tbl>
    <w:p>
      <w:pPr>
        <w:spacing w:before="60" w:after="0"/>
      </w:pPr>
      <w:r>
        <w:rPr>
          <w:rFonts w:ascii="Times New Roman" w:hAnsi="Times New Roman"/>
          <w:rFonts w:ascii="Times New Roman" w:hAnsi="Times New Roman"/>
          <w:b/>
          <w:i/>
          <w:sz w:val="20"/>
        </w:rPr>
        <w:t xml:space="preserve">Note. </w:t>
      </w:r>
      <w:r>
        <w:rPr>
          <w:rFonts w:ascii="Times New Roman" w:hAnsi="Times New Roman"/>
          <w:rFonts w:ascii="Times New Roman" w:hAnsi="Times New Roman"/>
          <w:b w:val="0"/>
          <w:i w:val="0"/>
          <w:sz w:val="20"/>
        </w:rPr>
        <w:t>NOS = Newcastle–Ottawa Scale. Selection (0–4): representativeness, exposure ascertainment. Comparability (0–2): covariate control. Outcome (0–3): assessment quality and follow-up. High quality: total ≥7; Moderate: 5–6; Low: ≤4. Shephard et al. (2019) scores reflect corrected study profile (rsEEG; Brazil; adolescent-mother sample).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rFonts w:ascii="Times New Roman" w:hAnsi="Times New Roman"/>
        <w:b w:val="0"/>
        <w:i w:val="0"/>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