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安全框</w:t>
      </w:r>
      <w:bookmarkStart w:id="0" w:name="_GoBack"/>
      <w:bookmarkEnd w:id="0"/>
      <w:r>
        <w:rPr>
          <w:rFonts w:hint="eastAsia"/>
        </w:rPr>
        <w:t>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6F277C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6F277C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6F277C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6F277C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6F277C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6F277C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6F277C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6F277C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6F277C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6F277C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6F277C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A93662">
        <w:rPr>
          <w:rFonts w:hint="eastAsia"/>
        </w:rPr>
        <w:t xml:space="preserve">system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7C" w:rsidRDefault="006F277C" w:rsidP="00650C52">
      <w:pPr>
        <w:spacing w:line="240" w:lineRule="auto"/>
      </w:pPr>
      <w:r>
        <w:separator/>
      </w:r>
    </w:p>
  </w:endnote>
  <w:endnote w:type="continuationSeparator" w:id="0">
    <w:p w:rsidR="006F277C" w:rsidRDefault="006F277C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7C" w:rsidRDefault="006F277C" w:rsidP="00650C52">
      <w:pPr>
        <w:spacing w:line="240" w:lineRule="auto"/>
      </w:pPr>
      <w:r>
        <w:separator/>
      </w:r>
    </w:p>
  </w:footnote>
  <w:footnote w:type="continuationSeparator" w:id="0">
    <w:p w:rsidR="006F277C" w:rsidRDefault="006F277C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www.iteye.com/blogs/subjects/kaitao-springmv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7</Pages>
  <Words>862</Words>
  <Characters>4918</Characters>
  <Application>Microsoft Office Word</Application>
  <DocSecurity>0</DocSecurity>
  <Lines>40</Lines>
  <Paragraphs>11</Paragraphs>
  <ScaleCrop>false</ScaleCrop>
  <Company>Sdcncsi</Company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1080</cp:revision>
  <dcterms:created xsi:type="dcterms:W3CDTF">2013-09-03T11:51:00Z</dcterms:created>
  <dcterms:modified xsi:type="dcterms:W3CDTF">2014-12-16T06:37:00Z</dcterms:modified>
</cp:coreProperties>
</file>