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1" w:name="_Toc352876695"/>
      <w:r>
        <w:rPr>
          <w:rFonts w:hint="eastAsia"/>
        </w:rPr>
        <w:t>资源目录</w:t>
      </w:r>
      <w:bookmarkEnd w:id="1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2" w:name="_Toc352876696"/>
      <w:r>
        <w:rPr>
          <w:rFonts w:hint="eastAsia"/>
        </w:rPr>
        <w:t>发布目录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7"/>
      <w:r>
        <w:rPr>
          <w:rFonts w:hint="eastAsia"/>
        </w:rPr>
        <w:t>执行目录</w:t>
      </w:r>
      <w:bookmarkEnd w:id="3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lastRenderedPageBreak/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90554D" w:rsidP="0050380F">
      <w:pPr>
        <w:pStyle w:val="1"/>
      </w:pPr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http://127.0.0.1:8075/WebReport/ReportServer?reportlet=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F70840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3DAFA96" wp14:editId="08933E69">
            <wp:extent cx="477202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D78AC45" wp14:editId="59A4D0D6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lastRenderedPageBreak/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>
      <w:bookmarkStart w:id="4" w:name="_GoBack"/>
      <w:bookmarkEnd w:id="4"/>
    </w:p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AD9" w:rsidRDefault="00E32AD9" w:rsidP="00650C52">
      <w:pPr>
        <w:spacing w:line="240" w:lineRule="auto"/>
      </w:pPr>
      <w:r>
        <w:separator/>
      </w:r>
    </w:p>
  </w:endnote>
  <w:endnote w:type="continuationSeparator" w:id="0">
    <w:p w:rsidR="00E32AD9" w:rsidRDefault="00E32AD9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AD9" w:rsidRDefault="00E32AD9" w:rsidP="00650C52">
      <w:pPr>
        <w:spacing w:line="240" w:lineRule="auto"/>
      </w:pPr>
      <w:r>
        <w:separator/>
      </w:r>
    </w:p>
  </w:footnote>
  <w:footnote w:type="continuationSeparator" w:id="0">
    <w:p w:rsidR="00E32AD9" w:rsidRDefault="00E32AD9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618</Words>
  <Characters>3529</Characters>
  <Application>Microsoft Office Word</Application>
  <DocSecurity>0</DocSecurity>
  <Lines>29</Lines>
  <Paragraphs>8</Paragraphs>
  <ScaleCrop>false</ScaleCrop>
  <Company>Sdcncsi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1063</cp:revision>
  <dcterms:created xsi:type="dcterms:W3CDTF">2013-09-03T11:51:00Z</dcterms:created>
  <dcterms:modified xsi:type="dcterms:W3CDTF">2014-10-30T10:44:00Z</dcterms:modified>
</cp:coreProperties>
</file>