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2. Primero describa como esta construida la base de datos utilizada en el problema de regresión; para esto puede graficar los datos, o analizar la función que se usa para generarlos. Explique cuál es la función polinomial con la cual están construidos los datos en matlab. Diga cuantas muestras de entrenamiento y de validación se usan para resolver el problema, también escriba cuantas caracterısticas tienen las muestras.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 la construcción de la base de datos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 la construcción de los datos se crean dos vectores fila con la función linspace de Matlab. El primero se hace con un límite inferior de -20, un límite superior de 20 y 500 elementos. El segundo de manera similar al primero pero con límite inferior de -50 y límite superior de 50. Estos dos vectores fila se transponen y se agregan a una matriz de 500 x 2, esta matriz es llamada X. Luego se normaliza la distribución de datos de la matriz X con la función zscore de Matlab, resultando una distribución de datos de media 0 y desviación 1. Esta matriz normalizada es usada para la construcción del vector de las salidas de la  función polinomial inicial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.^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.^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6 , </w:t>
      </w:r>
      <w:r w:rsidDel="00000000" w:rsidR="00000000" w:rsidRPr="00000000">
        <w:rPr>
          <w:rtl w:val="0"/>
        </w:rPr>
        <w:t xml:space="preserve">luego se hace otro proceso de randomización usando los valores mínimo y máximo de la función Y. Al finalizar la generación de la función polinomial, se revierte la normalización en X, para </w:t>
      </w:r>
      <w:r w:rsidDel="00000000" w:rsidR="00000000" w:rsidRPr="00000000">
        <w:rPr>
          <w:rtl w:val="0"/>
        </w:rPr>
        <w:t xml:space="preserve">extender la matriz con la función potenciaPolinomio que depende del grado del polinomio</w:t>
      </w:r>
      <w:r w:rsidDel="00000000" w:rsidR="00000000" w:rsidRPr="00000000">
        <w:rPr>
          <w:rtl w:val="0"/>
        </w:rPr>
        <w:t xml:space="preserve">. Se particionan los vectores en dos, uno para el entrenamiento y otro para las pruebas, se utiliza la función randperm para permutar aleatoriamente los índices del 1 al 500, luego, estos índices randomizados son usados para distribuir los datos en las particiones creadas anteriormente. Por último se agrega a las particiones Xtrain y Xtest una columna de 1s al final, esto es necesario para hacer el respectivo ajuste con los pesos W y evitar procesamiento posterior. Así es como se genera la información en la base de datos. Veremos algunas gráficas que ilustran los resultados.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Función polinomial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 función polinomial con la cual están generados los datos 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666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.^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.^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4"/>
          <w:szCs w:val="24"/>
          <w:rtl w:val="0"/>
        </w:rPr>
        <w:t xml:space="preserve">6;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Consolas" w:cs="Consolas" w:eastAsia="Consolas" w:hAnsi="Consolas"/>
          <w:color w:val="006666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3467756" cy="2605088"/>
            <wp:effectExtent b="0" l="0" r="0" t="0"/>
            <wp:docPr descr="y train.jpg" id="1" name="image2.jpg"/>
            <a:graphic>
              <a:graphicData uri="http://schemas.openxmlformats.org/drawingml/2006/picture">
                <pic:pic>
                  <pic:nvPicPr>
                    <pic:cNvPr descr="y train.jpg"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756" cy="260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Muestras de entrenamiento y validación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 usaron 450 muestras para entrenamiento y 50 muestras para la validación.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Caracteristicas de la muestra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Inicialmente hay dos variables: X1  y X2. En base al grado ingresado se generan otras variables en función de las dos primeras.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405"/>
        <w:tblGridChange w:id="0">
          <w:tblGrid>
            <w:gridCol w:w="3120"/>
            <w:gridCol w:w="3120"/>
            <w:gridCol w:w="34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Taza de Aprendizaje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Grado del Polinomio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Cuadratico Medio (ECM)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</w:tr>
      <w:tr>
        <w:trPr>
          <w:trHeight w:val="48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80.3105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0,00001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108.2567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onsolas" w:cs="Consolas" w:eastAsia="Consolas" w:hAnsi="Consolas"/>
          <w:color w:val="00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2-a. </w:t>
      </w:r>
      <w:r w:rsidDel="00000000" w:rsidR="00000000" w:rsidRPr="00000000">
        <w:rPr>
          <w:b w:val="1"/>
          <w:rtl w:val="0"/>
        </w:rPr>
        <w:t xml:space="preserve">Usando la siguiente fórmula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 = W - eta*(1/N)*(((X*W)-Y)'*X)';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Mientras más pequeña se pone la taza de aprendizaje y el grado del polinomio, el ECM va disminuyendo considerablemente, pero si aumenta tanto el grado del polinomio como la tasa de aprendizaje el ECM aumenta tanto que en ocasiones puede llegar a tomar valores NaN donde se supone que es un número tan grande que matlab no lo puede poner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2-b. Se obtienen 9 valores para W, por que son 8 que acompañan a las variables con exponentes desde 1 hasta 4, y un término independiente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2-c. La respuesta es la A. X1X2X1^2X2^2X1^3X2^3X1^4X2^4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</w:t>
      </w:r>
    </w:p>
    <w:tbl>
      <w:tblPr>
        <w:tblStyle w:val="Table2"/>
        <w:bidiVisual w:val="0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405"/>
        <w:tblGridChange w:id="0">
          <w:tblGrid>
            <w:gridCol w:w="3120"/>
            <w:gridCol w:w="3120"/>
            <w:gridCol w:w="34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Taza de Aprendizaje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Grado del Polinomio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Error Cuadratico Medio (ECM)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19.2542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3.8366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6.8282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6.6197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7.7729</w:t>
            </w:r>
          </w:p>
        </w:tc>
      </w:tr>
      <w:tr>
        <w:trPr>
          <w:trHeight w:val="48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79.981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70.722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72.2338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65.9872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68.0568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0,00001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108.2935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108.1641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108.1892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108.0443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108.0933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3-a. ¿Qu´e proceso hace la normalizaci´on sobre los datos? Consulte porqu´e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es necesaria la normalizaci´on en el modelo de regresi´on log´ıstica 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cu´ales son los tipos de normalizaci´on m´as comunes. ¿Cu´al de ellos 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aplic´o en el laboratorio?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 proceso de normalización permite tener una distribución de datos con media 0 y varianza 1, esto facilita las tareas de análisis y comparación. En este caso utilizamos las medias y las desviaciones estándar usadas en Xtrain para centrar la distribución de datos, y utilzamos estos valores para normalizar las muestras de validación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 normalización debe realizarse ya que los valores fueron obtenidos aleatoriamente y puede que no exista ninguna relación entre las variables, esto afectaría los procesos de regresión.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 normalización utilizada es la estandar, a traves de la funcion de matlab zscore.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Zscore = (x-u)/</w:t>
      </w:r>
      <m:oMath>
        <m:r>
          <m:t>σ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Max - min: convierte las variables en rangos entre 0 y 1. </w:t>
      </w:r>
      <m:oMath>
        <m:r>
          <w:rPr/>
          <m:t xml:space="preserve">(x-min x)/(max x - min 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Al descomentar las líneas de normalización disminuye aún más el ECM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3-b. Compare el resultado con el punto anterior donde no se us´o la normalizaci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´on, ¿Cu´al es el grado que mejor representa el conjunto 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muestras y por qu´e?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 el proceso de regresion con grado 4 y eta 0,001 se logra un ECM de 80, cuando las muestras no estan normalizadas. Esto es una buena representación del conjunto de muestras.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Cuando se uso la normalización, se encontro que con el grado 2 y eta 0.1 se encuentra un ECM de 3.8, siendo la mejor representación del comportamiento de las muestras.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  <w:t xml:space="preserve"> función polinomial generada????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m:oMath>
        <m:r>
          <w:rPr/>
          <m:t xml:space="preserve">Y=-0.2136*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   -0.2136*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  +  1.3757*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1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   + 1.3757*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+    8.9489* 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1</m:t>
                </m:r>
              </m:sub>
            </m:sSub>
          </m:e>
          <m:sup>
            <m:r>
              <w:rPr/>
              <m:t xml:space="preserve">0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 BD del problema de clasificación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 usa la misma fórmula que en regresión múltiple?(En los W)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 dónde sale la función polinomial de la mejor frontera encontrada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 gráfica?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 cassify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5-a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 bien los datos son transformados por la normalización, está no es tan evidente como en la regresión multiple. Esto es debido a que los conjuntos X1 y X2 de la regresión logistica fueron construidos a partir de funciones de aleatoriedad similares y no hay mucha diferencia en sus medias.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5-b</w:t>
      </w:r>
    </w:p>
    <w:p w:rsidR="00000000" w:rsidDel="00000000" w:rsidP="00000000" w:rsidRDefault="00000000" w:rsidRPr="00000000">
      <w:pPr>
        <w:pBdr/>
        <w:contextualSpacing w:val="0"/>
        <w:rPr/>
      </w:pPr>
      <m:oMath>
        <m:r>
          <w:rPr/>
          <m:t xml:space="preserve">Y=-0.1399*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  +  0.1609*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  +  2.3984*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1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  +  2.8899*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  +  0.2249*1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