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36B" w:rsidRPr="00E6236B" w:rsidRDefault="00E6236B" w:rsidP="00E6236B">
      <w:pPr>
        <w:rPr>
          <w:rFonts w:ascii="Times New Roman" w:eastAsia="Times New Roman" w:hAnsi="Times New Roman" w:cs="Times New Roman"/>
          <w:lang w:eastAsia="ru-RU"/>
        </w:rPr>
      </w:pPr>
      <w:r w:rsidRPr="00E6236B">
        <w:rPr>
          <w:rFonts w:ascii="Helvetica" w:eastAsia="Times New Roman" w:hAnsi="Helvetica" w:cs="Times New Roman"/>
          <w:color w:val="333333"/>
          <w:shd w:val="clear" w:color="auto" w:fill="FFFFFF"/>
          <w:lang w:eastAsia="ru-RU"/>
        </w:rPr>
        <w:t>Асинхронное программирование — это потоковая обработка программного обеспечения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val="ru-RU" w:eastAsia="ru-RU"/>
        </w:rPr>
        <w:t xml:space="preserve"> или </w:t>
      </w:r>
      <w:r w:rsidRPr="00E6236B">
        <w:rPr>
          <w:rFonts w:ascii="Helvetica" w:eastAsia="Times New Roman" w:hAnsi="Helvetica" w:cs="Times New Roman"/>
          <w:color w:val="333333"/>
          <w:shd w:val="clear" w:color="auto" w:fill="FFFFFF"/>
          <w:lang w:eastAsia="ru-RU"/>
        </w:rPr>
        <w:t>пользовательского пространства, где приложение, а не процессор, управляет потоками и переключением контекста. В асинхронном программировании контекст переключается только в заданных точках переключения, а не с периодичностью, определенной CPU.</w:t>
      </w:r>
    </w:p>
    <w:p w:rsidR="00E6236B" w:rsidRDefault="00E6236B"/>
    <w:sectPr w:rsidR="00E6236B" w:rsidSect="005E6B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6B"/>
    <w:rsid w:val="005E6B8A"/>
    <w:rsid w:val="00E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34B5"/>
  <w15:chartTrackingRefBased/>
  <w15:docId w15:val="{54998D43-C02F-A54B-8F42-4F86E21F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2020-04-04T06:27:00Z</dcterms:created>
  <dcterms:modified xsi:type="dcterms:W3CDTF">2020-04-04T06:28:00Z</dcterms:modified>
</cp:coreProperties>
</file>